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13.wmf" ContentType="image/x-wmf"/>
  <Override PartName="/word/media/image2.png" ContentType="image/png"/>
  <Override PartName="/word/media/image14.wmf" ContentType="image/x-wmf"/>
  <Override PartName="/word/media/image3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numbering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ytuinfomacjisygnalnej"/>
        <w:spacing w:beforeAutospacing="1" w:after="240"/>
        <w:rPr/>
      </w:pPr>
      <w:bookmarkStart w:id="0" w:name="_GoBack"/>
      <w:bookmarkEnd w:id="0"/>
      <w:r>
        <w:rPr/>
        <w:t>Wskaźniki cen towarów i usług konsumpcyjnych w grudniu 2024 r.</w:t>
      </w:r>
    </w:p>
    <w:p>
      <w:pPr>
        <w:pStyle w:val="Lead"/>
        <w:spacing w:before="0" w:after="0"/>
        <w:ind w:left="3720"/>
        <w:rPr>
          <w:spacing w:val="-2"/>
        </w:rPr>
      </w:pPr>
      <w:r>
        <mc:AlternateContent>
          <mc:Choice Requires="wps">
            <w:drawing>
              <wp:anchor behindDoc="0" distT="45085" distB="52705" distL="113665" distR="113665" simplePos="0" locked="0" layoutInCell="0" allowOverlap="1" relativeHeight="18" wp14:anchorId="7CD35F3C">
                <wp:simplePos x="0" y="0"/>
                <wp:positionH relativeFrom="margin">
                  <wp:posOffset>-7620</wp:posOffset>
                </wp:positionH>
                <wp:positionV relativeFrom="paragraph">
                  <wp:posOffset>7620</wp:posOffset>
                </wp:positionV>
                <wp:extent cx="2270760" cy="1249680"/>
                <wp:effectExtent l="0" t="0" r="0" b="7620"/>
                <wp:wrapSquare wrapText="bothSides"/>
                <wp:docPr id="1" name="Pole tekstowe 2" descr="wzrost o 4,7% w porównaniu z analogicznym miesiącem poprzedniego roku&#10;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880" cy="124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rFonts w:ascii="Fira Sans SemiBold" w:hAnsi="Fira Sans SemiBold"/>
                                <w:color w:themeColor="background1"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themeColor="background1" w:val="FFFFFF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themeColor="background1" w:val="FFFFFF"/>
                                <w:sz w:val="72"/>
                                <w:szCs w:val="72"/>
                              </w:rPr>
                              <w:t>4,7%</w:t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wzrost w porównaniu </w:t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z analogicznym miesiącem </w:t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>poprzedniego roku</w:t>
                            </w:r>
                          </w:p>
                          <w:p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Pole tekstowe 2" path="l-2147483642,-2147483642l-2147483631,-2147483630l-2147483641,0l-2147483642,-2147483642l-2147483629,-2147483628l-2147483632,-2147483640l-2147483642,-2147483642xe" fillcolor="#001d77" stroked="f" o:allowincell="f" style="position:absolute;margin-left:-0.6pt;margin-top:0.6pt;width:178.75pt;height:98.35pt;mso-wrap-style:square;v-text-anchor:top;mso-position-horizontal-relative:margin" wp14:anchorId="7CD35F3C">
                <v:fill o:detectmouseclick="t" type="solid" color2="#ffe288"/>
                <v:stroke color="#3465a4" weight="9360" joinstyle="miter" endcap="flat"/>
                <v:textbox>
                  <w:txbxContent>
                    <w:p>
                      <w:pPr>
                        <w:pStyle w:val="Zawartoramki"/>
                        <w:spacing w:lineRule="auto" w:line="240" w:before="0" w:after="0"/>
                        <w:rPr>
                          <w:rFonts w:ascii="Fira Sans SemiBold" w:hAnsi="Fira Sans SemiBold"/>
                          <w:color w:themeColor="background1" w:val="FFFFFF"/>
                          <w:sz w:val="72"/>
                          <w:szCs w:val="72"/>
                        </w:rPr>
                      </w:pPr>
                      <w:r>
                        <w:rPr>
                          <w:rFonts w:eastAsia="Wingdings" w:cs="Wingdings" w:ascii="Wingdings" w:hAnsi="Wingdings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themeColor="background1" w:val="FFFFFF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themeColor="background1" w:val="FFFFFF"/>
                          <w:sz w:val="72"/>
                          <w:szCs w:val="72"/>
                        </w:rPr>
                        <w:t>4,7%</w:t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wzrost w porównaniu </w:t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z analogicznym miesiącem </w:t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sz w:val="20"/>
                        </w:rPr>
                        <w:t>poprzedniego roku</w:t>
                      </w:r>
                    </w:p>
                    <w:p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spacing w:val="-2"/>
        </w:rPr>
        <w:t xml:space="preserve">Ceny towarów i usług konsumpcyjnych w grudniu 2024 r. w porównaniu z analogicznym miesiącem ub. roku wzrosły o 4,7% (przy wzroście cen usług – o 6,6% i towarów – o 4,0%). </w:t>
      </w:r>
      <w:r>
        <w:rPr>
          <w:spacing w:val="-4"/>
        </w:rPr>
        <w:t>W stosunku do po-przedniego miesiąca ceny towarów i usług utrzy-mały się przeciętnie na poziomie zbliżonym do za-notowanego przed miesiącem (przy wzroście cen usług – o 0,1% i utrzymujących się na tym samym poziomie cenach towarów). Wzrost cen towarów i usług konsumpcyjnych w 2024 r. w stosunku do roku poprzedniego wyniósł 3,6%.</w:t>
      </w:r>
    </w:p>
    <w:p>
      <w:pPr>
        <w:pStyle w:val="Lead"/>
        <w:spacing w:before="0" w:after="0"/>
        <w:contextualSpacing/>
        <w:rPr>
          <w:spacing w:val="-2"/>
        </w:rPr>
      </w:pPr>
      <w:r>
        <w:rPr>
          <w:spacing w:val="-2"/>
        </w:rPr>
      </w:r>
    </w:p>
    <w:p>
      <w:pPr>
        <w:pStyle w:val="Lead"/>
        <w:spacing w:before="360" w:after="120"/>
        <w:contextualSpacing/>
        <w:rPr/>
      </w:pPr>
      <w:r>
        <w:rPr/>
      </w:r>
    </w:p>
    <w:p>
      <w:pPr>
        <w:pStyle w:val="Lead"/>
        <w:spacing w:before="360" w:after="120"/>
        <w:contextualSpacing/>
        <w:rPr/>
      </w:pPr>
      <w:r>
        <w:rPr/>
        <w:t>Tablica 1. Wskaźniki cen towarów i usług konsumpcyjnych w grudniu 2024 r.</w:t>
      </w:r>
    </w:p>
    <w:tbl>
      <w:tblPr>
        <w:tblStyle w:val="Siatkatabelijasna111"/>
        <w:tblW w:w="8160" w:type="dxa"/>
        <w:jc w:val="left"/>
        <w:tblInd w:w="0" w:type="dxa"/>
        <w:tblLayout w:type="fixed"/>
        <w:tblCellMar>
          <w:top w:w="57" w:type="dxa"/>
          <w:left w:w="108" w:type="dxa"/>
          <w:bottom w:w="57" w:type="dxa"/>
          <w:right w:w="108" w:type="dxa"/>
        </w:tblCellMar>
        <w:tblLook w:firstRow="0" w:noVBand="0" w:lastRow="0" w:firstColumn="0" w:lastColumn="0" w:noHBand="0" w:val="0000"/>
      </w:tblPr>
      <w:tblGrid>
        <w:gridCol w:w="2267"/>
        <w:gridCol w:w="957"/>
        <w:gridCol w:w="958"/>
        <w:gridCol w:w="957"/>
        <w:gridCol w:w="957"/>
        <w:gridCol w:w="1133"/>
        <w:gridCol w:w="930"/>
      </w:tblGrid>
      <w:tr>
        <w:trPr>
          <w:trHeight w:val="437" w:hRule="atLeast"/>
          <w:cantSplit w:val="true"/>
        </w:trPr>
        <w:tc>
          <w:tcPr>
            <w:tcW w:w="2267" w:type="dxa"/>
            <w:vMerge w:val="restart"/>
            <w:tcBorders>
              <w:top w:val="single" w:sz="4" w:space="0" w:color="2F5496"/>
              <w:left w:val="nil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keepNext w:val="true"/>
              <w:widowControl/>
              <w:numPr>
                <w:ilvl w:val="0"/>
                <w:numId w:val="0"/>
              </w:numPr>
              <w:tabs>
                <w:tab w:val="clear" w:pos="708"/>
                <w:tab w:val="right" w:pos="4139" w:leader="dot"/>
              </w:tabs>
              <w:spacing w:before="120" w:after="120"/>
              <w:jc w:val="center"/>
              <w:outlineLvl w:val="0"/>
              <w:rPr>
                <w:rFonts w:eastAsia="Times New Roman" w:cs="Arial"/>
                <w:b/>
                <w:color w:themeColor="text1"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themeColor="text1" w:val="000000"/>
                <w:kern w:val="0"/>
                <w:sz w:val="17"/>
                <w:szCs w:val="17"/>
                <w:lang w:val="pl-PL" w:eastAsia="pl-PL" w:bidi="ar-SA"/>
              </w:rPr>
              <w:t>WYSZCZEGÓLNIENIE</w:t>
            </w:r>
          </w:p>
        </w:tc>
        <w:tc>
          <w:tcPr>
            <w:tcW w:w="1915" w:type="dxa"/>
            <w:gridSpan w:val="2"/>
            <w:tcBorders>
              <w:top w:val="single" w:sz="4" w:space="0" w:color="2F5496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120" w:after="12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position w:val="6"/>
                <w:sz w:val="17"/>
                <w:szCs w:val="17"/>
                <w:lang w:val="pl-PL" w:eastAsia="en-US" w:bidi="ar-SA"/>
              </w:rPr>
              <w:t>12 2024</w:t>
            </w:r>
          </w:p>
        </w:tc>
        <w:tc>
          <w:tcPr>
            <w:tcW w:w="1914" w:type="dxa"/>
            <w:gridSpan w:val="2"/>
            <w:tcBorders>
              <w:top w:val="single" w:sz="4" w:space="0" w:color="2F5496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120" w:after="12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4 kw. 2024</w:t>
            </w:r>
          </w:p>
        </w:tc>
        <w:tc>
          <w:tcPr>
            <w:tcW w:w="1133" w:type="dxa"/>
            <w:tcBorders>
              <w:top w:val="single" w:sz="4" w:space="0" w:color="2F5496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120" w:after="12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01-12 2024</w:t>
            </w:r>
          </w:p>
        </w:tc>
        <w:tc>
          <w:tcPr>
            <w:tcW w:w="930" w:type="dxa"/>
            <w:vMerge w:val="restart"/>
            <w:tcBorders>
              <w:top w:val="single" w:sz="4" w:space="0" w:color="0070C0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>
            <w:pPr>
              <w:pStyle w:val="Heading3"/>
              <w:widowControl/>
              <w:spacing w:before="120" w:after="120"/>
              <w:jc w:val="center"/>
              <w:rPr>
                <w:rFonts w:ascii="Fira Sans" w:hAnsi="Fira Sans"/>
                <w:color w:themeColor="text1" w:val="000000"/>
                <w:sz w:val="16"/>
                <w:szCs w:val="16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6"/>
                <w:szCs w:val="16"/>
                <w:lang w:val="pl-PL" w:eastAsia="en-US" w:bidi="ar-SA"/>
              </w:rPr>
              <w:t>WPŁYW ZMIAN</w:t>
            </w:r>
          </w:p>
          <w:p>
            <w:pPr>
              <w:pStyle w:val="Heading3"/>
              <w:widowControl/>
              <w:spacing w:before="120" w:after="12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11 2024=</w:t>
              <w:br/>
              <w:t>=100</w:t>
            </w:r>
          </w:p>
        </w:tc>
      </w:tr>
      <w:tr>
        <w:trPr>
          <w:trHeight w:val="593" w:hRule="atLeast"/>
          <w:cantSplit w:val="true"/>
        </w:trPr>
        <w:tc>
          <w:tcPr>
            <w:tcW w:w="2267" w:type="dxa"/>
            <w:vMerge w:val="continue"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keepNext w:val="true"/>
              <w:widowControl/>
              <w:numPr>
                <w:ilvl w:val="0"/>
                <w:numId w:val="0"/>
              </w:numPr>
              <w:tabs>
                <w:tab w:val="clear" w:pos="708"/>
                <w:tab w:val="right" w:pos="4139" w:leader="dot"/>
              </w:tabs>
              <w:spacing w:before="240" w:after="0"/>
              <w:jc w:val="center"/>
              <w:outlineLvl w:val="0"/>
              <w:rPr>
                <w:rFonts w:ascii="Fira Sans SemiBold" w:hAnsi="Fira Sans SemiBold" w:eastAsia="Times New Roman" w:cs="Arial"/>
                <w:b/>
                <w:bCs/>
                <w:color w:themeColor="text1" w:val="000000"/>
                <w:sz w:val="16"/>
                <w:szCs w:val="16"/>
                <w:highlight w:val="yellow"/>
                <w:lang w:eastAsia="pl-PL"/>
              </w:rPr>
            </w:pPr>
            <w:r>
              <w:rPr>
                <w:rFonts w:eastAsia="Times New Roman" w:cs="Arial" w:ascii="Fira Sans SemiBold" w:hAnsi="Fira Sans SemiBold"/>
                <w:b/>
                <w:bCs/>
                <w:color w:themeColor="text1" w:val="000000"/>
                <w:kern w:val="0"/>
                <w:sz w:val="16"/>
                <w:szCs w:val="16"/>
                <w:highlight w:val="yellow"/>
                <w:lang w:val="pl-PL" w:eastAsia="pl-PL" w:bidi="ar-SA"/>
              </w:rPr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40" w:after="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12 2023=</w:t>
              <w:br/>
              <w:t>=100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40" w:after="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11 2024=</w:t>
              <w:br/>
              <w:t>=100</w:t>
            </w:r>
          </w:p>
        </w:tc>
        <w:tc>
          <w:tcPr>
            <w:tcW w:w="957" w:type="dxa"/>
            <w:tcBorders>
              <w:top w:val="single" w:sz="4" w:space="0" w:color="0070C0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40" w:after="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4 kw. 2023=100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40" w:after="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3 kw. 2024=100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Heading3"/>
              <w:widowControl/>
              <w:spacing w:before="40" w:after="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01-12 2023=</w:t>
            </w:r>
          </w:p>
          <w:p>
            <w:pPr>
              <w:pStyle w:val="Heading3"/>
              <w:widowControl/>
              <w:spacing w:before="40" w:after="0"/>
              <w:contextualSpacing/>
              <w:jc w:val="center"/>
              <w:rPr>
                <w:rFonts w:ascii="Fira Sans" w:hAnsi="Fira Sans"/>
                <w:color w:themeColor="text1" w:val="000000"/>
                <w:sz w:val="17"/>
                <w:szCs w:val="17"/>
              </w:rPr>
            </w:pPr>
            <w:r>
              <w:rPr>
                <w:rFonts w:ascii="Fira Sans" w:hAnsi="Fira Sans"/>
                <w:color w:themeColor="text1" w:val="000000"/>
                <w:kern w:val="0"/>
                <w:sz w:val="17"/>
                <w:szCs w:val="17"/>
                <w:lang w:val="pl-PL" w:eastAsia="en-US" w:bidi="ar-SA"/>
              </w:rPr>
              <w:t>=100</w:t>
            </w:r>
          </w:p>
        </w:tc>
        <w:tc>
          <w:tcPr>
            <w:tcW w:w="930" w:type="dxa"/>
            <w:vMerge w:val="continue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>
            <w:pPr>
              <w:pStyle w:val="Normal"/>
              <w:keepNext w:val="true"/>
              <w:keepLines/>
              <w:widowControl/>
              <w:numPr>
                <w:ilvl w:val="0"/>
                <w:numId w:val="0"/>
              </w:numPr>
              <w:spacing w:before="0" w:after="0"/>
              <w:jc w:val="center"/>
              <w:outlineLvl w:val="2"/>
              <w:rPr>
                <w:rFonts w:eastAsia="" w:cs="" w:cstheme="majorBidi" w:eastAsiaTheme="majorEastAsia"/>
                <w:color w:themeColor="text1" w:val="000000"/>
                <w:sz w:val="18"/>
                <w:szCs w:val="18"/>
                <w:highlight w:val="yellow"/>
              </w:rPr>
            </w:pPr>
            <w:r>
              <w:rPr>
                <w:rFonts w:eastAsia="" w:cs="" w:cstheme="majorBidi" w:eastAsiaTheme="majorEastAsia"/>
                <w:color w:themeColor="text1" w:val="000000"/>
                <w:kern w:val="0"/>
                <w:sz w:val="18"/>
                <w:szCs w:val="18"/>
                <w:highlight w:val="yellow"/>
                <w:lang w:val="pl-PL" w:eastAsia="en-US" w:bidi="ar-SA"/>
              </w:rPr>
            </w:r>
          </w:p>
        </w:tc>
      </w:tr>
      <w:tr>
        <w:trPr>
          <w:trHeight w:val="417" w:hRule="atLeast"/>
          <w:cantSplit w:val="true"/>
        </w:trPr>
        <w:tc>
          <w:tcPr>
            <w:tcW w:w="226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OGÓŁEM</w:t>
            </w:r>
          </w:p>
        </w:tc>
        <w:tc>
          <w:tcPr>
            <w:tcW w:w="95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104,7</w:t>
            </w:r>
          </w:p>
        </w:tc>
        <w:tc>
          <w:tcPr>
            <w:tcW w:w="958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100,0</w:t>
            </w:r>
          </w:p>
        </w:tc>
        <w:tc>
          <w:tcPr>
            <w:tcW w:w="95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104,8</w:t>
            </w:r>
          </w:p>
        </w:tc>
        <w:tc>
          <w:tcPr>
            <w:tcW w:w="95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100,7</w:t>
            </w:r>
          </w:p>
        </w:tc>
        <w:tc>
          <w:tcPr>
            <w:tcW w:w="113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103,6</w:t>
            </w:r>
          </w:p>
        </w:tc>
        <w:tc>
          <w:tcPr>
            <w:tcW w:w="93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Calibri"/>
                <w:color w:val="000000"/>
                <w:kern w:val="0"/>
                <w:szCs w:val="19"/>
                <w:lang w:val="pl-PL" w:eastAsia="en-US" w:bidi="ar-SA"/>
              </w:rPr>
              <w:t>x</w:t>
            </w:r>
          </w:p>
        </w:tc>
      </w:tr>
      <w:tr>
        <w:trPr>
          <w:trHeight w:val="308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 xml:space="preserve">Żywność i napoje </w:t>
              <w:br/>
              <w:t>bezalkoholowe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104,8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100,2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104,8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101,4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0,06</w:t>
            </w:r>
          </w:p>
        </w:tc>
      </w:tr>
      <w:tr>
        <w:trPr>
          <w:trHeight w:val="57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 xml:space="preserve">Napoje alkoholowe </w:t>
              <w:br/>
              <w:t>i wyroby tytoniowe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103,3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99,4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103,9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100,4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-0,03</w:t>
            </w:r>
          </w:p>
        </w:tc>
      </w:tr>
      <w:tr>
        <w:trPr>
          <w:trHeight w:val="477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Odzież i obuwie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98,3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98,5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98,4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104,1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99,7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-0,06</w:t>
            </w:r>
          </w:p>
        </w:tc>
      </w:tr>
      <w:tr>
        <w:trPr>
          <w:trHeight w:val="57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Użytkowanie mieszkania lub domu i nośniki energii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110,1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100,1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109,9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100,9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0,01</w:t>
            </w:r>
          </w:p>
        </w:tc>
      </w:tr>
      <w:tr>
        <w:trPr>
          <w:trHeight w:val="823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Wyposażenie mieszkania i prowadzenie gospodarstwa domowego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100,4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100,6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100,0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0,00</w:t>
            </w:r>
          </w:p>
        </w:tc>
      </w:tr>
      <w:tr>
        <w:trPr>
          <w:trHeight w:val="479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 xml:space="preserve">Zdrowie 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105,5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100,4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105,6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100,4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0,02</w:t>
            </w:r>
          </w:p>
        </w:tc>
      </w:tr>
      <w:tr>
        <w:trPr>
          <w:trHeight w:val="57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Transport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96,7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100,6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97,3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97,9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98,2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0,05</w:t>
            </w:r>
          </w:p>
        </w:tc>
      </w:tr>
      <w:tr>
        <w:trPr>
          <w:trHeight w:val="57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Łączność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104,1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103,2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101,8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0,00</w:t>
            </w:r>
          </w:p>
        </w:tc>
      </w:tr>
      <w:tr>
        <w:trPr>
          <w:trHeight w:val="401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Rekreacja i kultura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105,5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99,7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105,7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99,1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-0,02</w:t>
            </w:r>
          </w:p>
        </w:tc>
      </w:tr>
      <w:tr>
        <w:trPr>
          <w:trHeight w:val="149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Edukacja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109,2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100,0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109,2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105,2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109,1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0,00</w:t>
            </w:r>
          </w:p>
        </w:tc>
      </w:tr>
      <w:tr>
        <w:trPr>
          <w:trHeight w:val="389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Restauracje i hotele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106,8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100,3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107,0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100,8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107,8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0,02</w:t>
            </w:r>
          </w:p>
        </w:tc>
      </w:tr>
      <w:tr>
        <w:trPr>
          <w:trHeight w:val="281" w:hRule="atLeast"/>
          <w:cantSplit w:val="true"/>
        </w:trPr>
        <w:tc>
          <w:tcPr>
            <w:tcW w:w="226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jc w:val="left"/>
              <w:rPr>
                <w:rFonts w:cs="Calibri"/>
                <w:color w:val="000000"/>
                <w:sz w:val="17"/>
                <w:szCs w:val="17"/>
              </w:rPr>
            </w:pPr>
            <w:r>
              <w:rPr>
                <w:rFonts w:eastAsia="Fira Sans Light" w:cs="Calibri"/>
                <w:color w:val="000000"/>
                <w:kern w:val="0"/>
                <w:sz w:val="17"/>
                <w:szCs w:val="17"/>
                <w:lang w:val="pl-PL" w:eastAsia="en-US" w:bidi="ar-SA"/>
              </w:rPr>
              <w:t>Inne towary i usługi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Calibri"/>
                <w:color w:val="000000"/>
                <w:kern w:val="0"/>
                <w:szCs w:val="19"/>
                <w:lang w:val="pl-PL" w:eastAsia="en-US" w:bidi="ar-SA"/>
              </w:rPr>
              <w:t xml:space="preserve"> </w:t>
            </w:r>
            <w:r>
              <w:rPr>
                <w:rFonts w:eastAsia="Fira Sans Light" w:cs="Calibri"/>
                <w:color w:val="000000"/>
                <w:kern w:val="0"/>
                <w:szCs w:val="19"/>
                <w:lang w:val="pl-PL" w:eastAsia="en-US" w:bidi="ar-SA"/>
              </w:rPr>
              <w:t>103,1</w:t>
            </w:r>
          </w:p>
        </w:tc>
        <w:tc>
          <w:tcPr>
            <w:tcW w:w="958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99,7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103,5</w:t>
            </w:r>
          </w:p>
        </w:tc>
        <w:tc>
          <w:tcPr>
            <w:tcW w:w="957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100,2</w:t>
            </w:r>
          </w:p>
        </w:tc>
        <w:tc>
          <w:tcPr>
            <w:tcW w:w="113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104,5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eastAsia="Fira Sans Light" w:cs=""/>
                <w:kern w:val="0"/>
                <w:szCs w:val="22"/>
                <w:lang w:val="pl-PL" w:eastAsia="en-US" w:bidi="ar-SA"/>
              </w:rPr>
              <w:t>-0,02</w:t>
            </w:r>
          </w:p>
        </w:tc>
      </w:tr>
    </w:tbl>
    <w:p>
      <w:pPr>
        <w:pStyle w:val="Normal"/>
        <w:spacing w:lineRule="auto" w:line="259" w:before="0" w:after="160"/>
        <w:rPr>
          <w:b/>
          <w:sz w:val="18"/>
          <w:szCs w:val="18"/>
        </w:rPr>
      </w:pPr>
      <w:r>
        <w:br w:type="page"/>
      </w:r>
      <w:r>
        <w:rPr>
          <w:rFonts w:eastAsia="Times New Roman" w:cs="Times New Roman" w:ascii="Fira Sans SemiBold" w:hAnsi="Fira Sans SemiBold"/>
          <w:bCs/>
          <w:color w:val="001D77"/>
          <w:szCs w:val="24"/>
          <w:shd w:fill="FFFFFF" w:val="clear"/>
          <w:lang w:eastAsia="pl-PL"/>
        </w:rPr>
        <w:t>Wpływy zmian cen na wskaźnik cen towarów i usług konsumpcyjnych ogółem</w:t>
      </w:r>
    </w:p>
    <w:p>
      <w:pPr>
        <w:pStyle w:val="FootnoteText"/>
        <w:spacing w:before="0" w:after="0"/>
        <w:rPr>
          <w:sz w:val="19"/>
          <w:szCs w:val="19"/>
        </w:rPr>
      </w:pPr>
      <w:r>
        <w:rPr>
          <w:spacing w:val="-4"/>
          <w:sz w:val="19"/>
          <w:szCs w:val="19"/>
        </w:rPr>
        <w:t>W grudniu br. w porównaniu z poprzednim miesiącem największy wpływ na wskaźnik cen towarów i usług konsumpcyjnych ogółem miały wyższe ceny w zakresie żywności (o 0,2%), transportu (o 0,6%), restauracji i hoteli (o 0,3%) oraz zdrowia (o 0,4%), które podwyższyły wskaźnik odpowiednio o 0,06 p. proc., 0,05 p. proc. i po 0,02 p. proc. Niższe ceny odzieży i obuwia (o 1,5%), napojów alkoholowych i wyrobów tytoniowych (o 0,6%) oraz rekreacji i kultury (o 0,3%), obniżyły ten wskaźnik odpowiednio o 0,06 p. proc., 0,03 p. proc. i 0,02 p. proc.</w:t>
      </w:r>
    </w:p>
    <w:p>
      <w:pPr>
        <w:pStyle w:val="FootnoteText"/>
        <w:spacing w:before="60" w:after="0"/>
        <w:rPr>
          <w:sz w:val="19"/>
          <w:szCs w:val="19"/>
        </w:rPr>
      </w:pPr>
      <w:r>
        <w:rPr>
          <w:sz w:val="19"/>
          <w:szCs w:val="19"/>
        </w:rPr>
        <w:t>W porównaniu z miesiącem analogicznym poprzedniego roku wyższe ceny w zakresie mieszkania (o 8,2%), żywności (o 4,8%), restauracji i hoteli (o 6,8%), rekreacji i kultury oraz zdrowia (po 5,5%) podniosły ten wskaźnik odpowiednio o 2,06 p. proc., 1,21 p. proc., 0,39 p. proc., 0,34 p. proc. i 0,29 p. proc. Niższe ceny w zakresie transportu (o 3,3%) oraz odzieży i obuwia (o 1,7%), obniżyły ten wskaźnik odpowiednio o 0,31 p. proc. i 0,07 p. proc.</w:t>
      </w:r>
    </w:p>
    <w:p>
      <w:pPr>
        <w:pStyle w:val="tytuwykresu"/>
        <w:spacing w:before="600" w:after="120"/>
        <w:ind w:hanging="851" w:left="851"/>
        <w:rPr>
          <w:spacing w:val="0"/>
          <w:sz w:val="19"/>
          <w:szCs w:val="19"/>
          <w:shd w:fill="FFFFFF" w:val="clear"/>
        </w:rPr>
      </w:pPr>
      <w:r>
        <w:drawing>
          <wp:anchor behindDoc="0" distT="0" distB="0" distL="114300" distR="114300" simplePos="0" locked="0" layoutInCell="0" allowOverlap="1" relativeHeight="27">
            <wp:simplePos x="0" y="0"/>
            <wp:positionH relativeFrom="column">
              <wp:posOffset>-3810</wp:posOffset>
            </wp:positionH>
            <wp:positionV relativeFrom="paragraph">
              <wp:posOffset>739140</wp:posOffset>
            </wp:positionV>
            <wp:extent cx="5035550" cy="2145665"/>
            <wp:effectExtent l="0" t="0" r="0" b="0"/>
            <wp:wrapSquare wrapText="bothSides"/>
            <wp:docPr id="2" name="Obraz 4" descr="Wykres 1. Wpływ zmian cen wybranych grup towarów i usług konsumpcyjnych w grudni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Wykres 1. Wpływ zmian cen wybranych grup towarów i usług konsumpcyjnych w grudniu 2024 r. (w p. proc. w stosunku do miesiąca poprzedniego)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0"/>
          <w:sz w:val="19"/>
          <w:szCs w:val="19"/>
        </w:rPr>
        <w:t>Wykres 1.</w:t>
      </w:r>
      <w:r>
        <w:rPr>
          <w:spacing w:val="0"/>
          <w:sz w:val="19"/>
          <w:szCs w:val="19"/>
          <w:shd w:fill="FFFFFF" w:val="clear"/>
        </w:rPr>
        <w:t xml:space="preserve"> Wpływ zmian cen wybranych grup towarów i usług konsumpcyjnych w grudniu 2024 r.</w:t>
      </w:r>
      <w:r>
        <w:rPr>
          <w:spacing w:val="0"/>
          <w:sz w:val="19"/>
          <w:szCs w:val="19"/>
          <w:shd w:fill="FFFFFF" w:val="clear"/>
          <w:lang w:eastAsia="pl-PL"/>
        </w:rPr>
        <w:t xml:space="preserve"> (</w:t>
      </w:r>
      <w:r>
        <w:rPr>
          <w:spacing w:val="0"/>
          <w:sz w:val="19"/>
          <w:szCs w:val="19"/>
          <w:shd w:fill="FFFFFF" w:val="clear"/>
        </w:rPr>
        <w:t>w p. proc. w stosunku do miesiąca poprzedniego)</w:t>
      </w:r>
    </w:p>
    <w:p>
      <w:pPr>
        <w:pStyle w:val="tytuwykresu"/>
        <w:spacing w:before="600" w:after="120"/>
        <w:ind w:hanging="851" w:left="851"/>
        <w:rPr>
          <w:spacing w:val="0"/>
          <w:sz w:val="19"/>
          <w:szCs w:val="19"/>
        </w:rPr>
      </w:pPr>
      <w:r>
        <w:rPr>
          <w:spacing w:val="0"/>
          <w:sz w:val="19"/>
          <w:szCs w:val="19"/>
        </w:rPr>
        <w:t>Wykres 2. System wag stosowany w obliczeniach wskaźników cen towarów i usług konsumpcyjnych w 2024 r.</w:t>
      </w:r>
    </w:p>
    <w:p>
      <w:pPr>
        <w:pStyle w:val="tytuwykresu"/>
        <w:spacing w:before="360" w:after="120"/>
        <w:rPr>
          <w:spacing w:val="0"/>
          <w:sz w:val="19"/>
          <w:szCs w:val="19"/>
        </w:rPr>
      </w:pPr>
      <w:r>
        <w:rPr>
          <w:spacing w:val="0"/>
          <w:sz w:val="19"/>
          <w:szCs w:val="19"/>
        </w:rPr>
        <w:drawing>
          <wp:anchor behindDoc="0" distT="0" distB="0" distL="114300" distR="114300" simplePos="0" locked="0" layoutInCell="0" allowOverlap="1" relativeHeight="20">
            <wp:simplePos x="0" y="0"/>
            <wp:positionH relativeFrom="margin">
              <wp:posOffset>-1270</wp:posOffset>
            </wp:positionH>
            <wp:positionV relativeFrom="paragraph">
              <wp:posOffset>180975</wp:posOffset>
            </wp:positionV>
            <wp:extent cx="5035550" cy="3481070"/>
            <wp:effectExtent l="0" t="0" r="0" b="0"/>
            <wp:wrapSquare wrapText="bothSides"/>
            <wp:docPr id="3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Wykres 2. System wag stosowany w obliczeniach wskaźników cen towarów i usług konsumpcyjnych w 2024 r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tytuwykresu"/>
        <w:spacing w:before="0" w:after="120"/>
        <w:ind w:hanging="851" w:left="851"/>
        <w:rPr>
          <w:spacing w:val="0"/>
          <w:sz w:val="19"/>
          <w:szCs w:val="19"/>
        </w:rPr>
      </w:pPr>
      <w:r>
        <w:drawing>
          <wp:anchor behindDoc="0" distT="0" distB="0" distL="114300" distR="114300" simplePos="0" locked="0" layoutInCell="0" allowOverlap="1" relativeHeight="28">
            <wp:simplePos x="0" y="0"/>
            <wp:positionH relativeFrom="column">
              <wp:posOffset>-99060</wp:posOffset>
            </wp:positionH>
            <wp:positionV relativeFrom="paragraph">
              <wp:posOffset>309880</wp:posOffset>
            </wp:positionV>
            <wp:extent cx="5035550" cy="2554605"/>
            <wp:effectExtent l="0" t="0" r="0" b="0"/>
            <wp:wrapSquare wrapText="bothSides"/>
            <wp:docPr id="4" name="Obraz 7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Wykres 3. Zmiany cen towarów i usług konsumpcyjnych w stosunku do okresu poprzedniego (w %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0"/>
          <w:sz w:val="19"/>
          <w:szCs w:val="19"/>
        </w:rPr>
        <w:t>Wykres 3. Zmiany cen towarów i usług konsumpcyjnych w stosunku do okresu poprzedniego (w %)</w:t>
      </w:r>
    </w:p>
    <w:p>
      <w:pPr>
        <w:pStyle w:val="tytuwykresu"/>
        <w:spacing w:before="600" w:after="120"/>
        <w:ind w:hanging="851" w:left="851"/>
        <w:rPr>
          <w:spacing w:val="0"/>
          <w:sz w:val="19"/>
          <w:szCs w:val="19"/>
        </w:rPr>
      </w:pPr>
      <w:r>
        <mc:AlternateContent>
          <mc:Choice Requires="wps">
            <w:drawing>
              <wp:anchor behindDoc="0" distT="45720" distB="45085" distL="114300" distR="114300" simplePos="0" locked="0" layoutInCell="0" allowOverlap="1" relativeHeight="16" wp14:anchorId="7E3D3ED6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5" name="Pole tekstowe 18" descr="W grudniu 2024 r. wskaźnik cen towarów i usług konsumpcyjnych kształtował się powyżej górnej granicy odchyleń od celu inflacyjnego określonego przez Radę Polityki Pieniężnej (2,5% +/- 1 p. proc.).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000" cy="131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ootnoteText"/>
                              <w:spacing w:before="12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grudniu 2024 r. wskaźnik cen towarów i usług konsumpcyjnych kształtował się powyżej górnej granicy odchyleń od celu inflacyjnego określonego przez Radę Polityki Pieniężnej (2,5% +/- 1 p. proc.).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8" path="m0,0l-2147483645,0l-2147483645,-2147483646l0,-2147483646xe" stroked="f" o:allowincell="f" style="position:absolute;margin-left:412.9pt;margin-top:287.1pt;width:139.55pt;height:103.2pt;mso-wrap-style:square;v-text-anchor:top" wp14:anchorId="7E3D3ED6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ootnoteText"/>
                        <w:spacing w:before="12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grudniu 2024 r. wskaźnik cen towarów i usług konsumpcyjnych kształtował się powyżej górnej granicy odchyleń od celu inflacyjnego określonego przez Radę Polityki Pieniężnej (2,5% +/- 1 p. proc.).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29">
            <wp:simplePos x="0" y="0"/>
            <wp:positionH relativeFrom="column">
              <wp:posOffset>-162560</wp:posOffset>
            </wp:positionH>
            <wp:positionV relativeFrom="paragraph">
              <wp:posOffset>3120390</wp:posOffset>
            </wp:positionV>
            <wp:extent cx="5035550" cy="2542540"/>
            <wp:effectExtent l="0" t="0" r="0" b="0"/>
            <wp:wrapSquare wrapText="bothSides"/>
            <wp:docPr id="6" name="Obraz 9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9" descr="Wykres 4. Zmiany cen towarów i usług konsumpcyjnych w stosunku do analogicznego okresu roku poprzedniego (w %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0"/>
          <w:sz w:val="19"/>
          <w:szCs w:val="19"/>
        </w:rPr>
        <w:t>Wykres 4. Zmiany cen towarów i usług konsumpcyjnych w stosunku do analogicznego okresu roku poprzedniego (w %)</w:t>
      </w:r>
    </w:p>
    <w:p>
      <w:pPr>
        <w:pStyle w:val="tytuwykresu"/>
        <w:spacing w:before="600" w:after="120"/>
        <w:ind w:hanging="851" w:left="851"/>
        <w:rPr>
          <w:spacing w:val="0"/>
          <w:sz w:val="19"/>
          <w:szCs w:val="19"/>
        </w:rPr>
      </w:pPr>
      <w:r>
        <w:drawing>
          <wp:anchor behindDoc="0" distT="0" distB="0" distL="114300" distR="114300" simplePos="0" locked="0" layoutInCell="0" allowOverlap="1" relativeHeight="30">
            <wp:simplePos x="0" y="0"/>
            <wp:positionH relativeFrom="column">
              <wp:posOffset>-3175</wp:posOffset>
            </wp:positionH>
            <wp:positionV relativeFrom="paragraph">
              <wp:posOffset>3263900</wp:posOffset>
            </wp:positionV>
            <wp:extent cx="5035550" cy="2590800"/>
            <wp:effectExtent l="0" t="0" r="0" b="0"/>
            <wp:wrapSquare wrapText="bothSides"/>
            <wp:docPr id="7" name="Obraz 10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0" descr="Wykres 5. Zmiany cen według wskaźnika cen towarów i usług konsumpcyjnych (CPI) oraz zharmonizowanego wskaźnika cen konsumpcyjnych (HICP) w stosunku do analogicznego okresu roku poprzedniego (w %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sz w:val="19"/>
          <w:szCs w:val="19"/>
          <w:lang w:eastAsia="pl-PL"/>
        </w:rPr>
        <w:t>W</w:t>
      </w:r>
      <w:r>
        <w:rPr>
          <w:spacing w:val="0"/>
          <w:sz w:val="19"/>
          <w:szCs w:val="19"/>
        </w:rPr>
        <w:t>ykres 5. Zmiany cen według wskaźnika cen towarów i usług konsumpcyjnych (CPI) oraz zharmonizowanego wskaźnika cen konsumpcyjnych (HICP) w stosunku do analogicznego okresu roku poprzedniego (w %)</w:t>
      </w:r>
    </w:p>
    <w:p>
      <w:pPr>
        <w:pStyle w:val="Normal"/>
        <w:spacing w:lineRule="auto" w:line="259" w:before="0" w:after="160"/>
        <w:rPr>
          <w:rFonts w:eastAsia="Times New Roman" w:cs="Times New Roman"/>
          <w:b/>
          <w:bCs/>
          <w:szCs w:val="19"/>
          <w:lang w:eastAsia="pl-PL"/>
        </w:rPr>
      </w:pPr>
      <w:r>
        <w:rPr>
          <w:rFonts w:eastAsia="Times New Roman" w:cs="Times New Roman"/>
          <w:b/>
          <w:bCs/>
          <w:szCs w:val="19"/>
          <w:lang w:eastAsia="pl-PL"/>
        </w:rPr>
      </w:r>
      <w:r>
        <w:br w:type="page"/>
      </w:r>
    </w:p>
    <w:p>
      <w:pPr>
        <w:pStyle w:val="Normal"/>
        <w:spacing w:before="0" w:after="120"/>
        <w:ind w:hanging="794" w:left="794"/>
        <w:rPr>
          <w:rFonts w:eastAsia="Times New Roman" w:cs="Times New Roman"/>
          <w:b/>
          <w:bCs/>
          <w:szCs w:val="19"/>
          <w:lang w:eastAsia="pl-PL"/>
        </w:rPr>
      </w:pPr>
      <w:r>
        <w:rPr>
          <w:rFonts w:eastAsia="Times New Roman" w:cs="Times New Roman"/>
          <w:b/>
          <w:bCs/>
          <w:szCs w:val="19"/>
          <w:lang w:eastAsia="pl-PL"/>
        </w:rPr>
        <w:t>Tablica 2. Wskaźniki cen towarów i usług konsumpcyjnych w grudniu 2024 r.</w:t>
      </w:r>
    </w:p>
    <w:tbl>
      <w:tblPr>
        <w:tblW w:w="8090" w:type="dxa"/>
        <w:jc w:val="left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906"/>
        <w:gridCol w:w="993"/>
        <w:gridCol w:w="993"/>
        <w:gridCol w:w="991"/>
        <w:gridCol w:w="992"/>
        <w:gridCol w:w="1214"/>
      </w:tblGrid>
      <w:tr>
        <w:trPr>
          <w:tblHeader w:val="true"/>
          <w:trHeight w:val="485" w:hRule="atLeast"/>
        </w:trPr>
        <w:tc>
          <w:tcPr>
            <w:tcW w:w="2906" w:type="dxa"/>
            <w:vMerge w:val="restart"/>
            <w:tcBorders>
              <w:top w:val="single" w:sz="4" w:space="0" w:color="212492"/>
              <w:bottom w:val="single" w:sz="12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986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themeColor="text1" w:val="000000"/>
                <w:sz w:val="17"/>
                <w:szCs w:val="17"/>
              </w:rPr>
              <w:t>12 2024</w:t>
            </w:r>
          </w:p>
        </w:tc>
        <w:tc>
          <w:tcPr>
            <w:tcW w:w="1983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4 kw. 2024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01-12 2024</w:t>
            </w:r>
          </w:p>
        </w:tc>
      </w:tr>
      <w:tr>
        <w:trPr>
          <w:tblHeader w:val="true"/>
          <w:trHeight w:val="542" w:hRule="atLeast"/>
        </w:trPr>
        <w:tc>
          <w:tcPr>
            <w:tcW w:w="2906" w:type="dxa"/>
            <w:vMerge w:val="continue"/>
            <w:tcBorders>
              <w:top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40" w:after="4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12 2023=</w:t>
            </w:r>
          </w:p>
          <w:p>
            <w:pPr>
              <w:pStyle w:val="Normal"/>
              <w:spacing w:lineRule="auto" w:line="240" w:before="40" w:after="4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themeColor="text1" w:val="000000"/>
                <w:sz w:val="17"/>
                <w:szCs w:val="17"/>
              </w:rPr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lineRule="auto" w:line="240" w:before="40" w:after="4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11 2024=</w:t>
            </w:r>
          </w:p>
          <w:p>
            <w:pPr>
              <w:pStyle w:val="Normal"/>
              <w:spacing w:lineRule="auto" w:line="240" w:before="40" w:after="4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themeColor="text1" w:val="000000"/>
                <w:sz w:val="17"/>
                <w:szCs w:val="17"/>
              </w:rPr>
              <w:t>=100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40" w:after="4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4 kw. 2023=100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</w:tcBorders>
            <w:vAlign w:val="center"/>
          </w:tcPr>
          <w:p>
            <w:pPr>
              <w:pStyle w:val="Normal"/>
              <w:spacing w:lineRule="auto" w:line="240" w:before="40" w:after="4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3 kw. 2024=100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</w:tcBorders>
            <w:vAlign w:val="center"/>
          </w:tcPr>
          <w:p>
            <w:pPr>
              <w:pStyle w:val="Normal"/>
              <w:spacing w:lineRule="auto" w:line="240" w:before="40" w:after="4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01-12 2023=</w:t>
            </w:r>
          </w:p>
          <w:p>
            <w:pPr>
              <w:pStyle w:val="Normal"/>
              <w:spacing w:lineRule="auto" w:line="240" w:before="40" w:after="40"/>
              <w:jc w:val="center"/>
              <w:rPr>
                <w:color w:themeColor="text1" w:val="000000"/>
                <w:sz w:val="17"/>
                <w:szCs w:val="17"/>
              </w:rPr>
            </w:pPr>
            <w:r>
              <w:rPr>
                <w:color w:themeColor="text1" w:val="000000"/>
                <w:sz w:val="17"/>
                <w:szCs w:val="17"/>
              </w:rPr>
              <w:t>=100</w:t>
            </w:r>
          </w:p>
        </w:tc>
      </w:tr>
      <w:tr>
        <w:trPr>
          <w:trHeight w:val="318" w:hRule="atLeast"/>
        </w:trPr>
        <w:tc>
          <w:tcPr>
            <w:tcW w:w="2906" w:type="dxa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60" w:after="6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104,7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100,7</w:t>
            </w:r>
          </w:p>
        </w:tc>
        <w:tc>
          <w:tcPr>
            <w:tcW w:w="121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103,6</w:t>
            </w:r>
          </w:p>
        </w:tc>
      </w:tr>
      <w:tr>
        <w:trPr>
          <w:trHeight w:val="32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Towary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102,6</w:t>
            </w:r>
          </w:p>
        </w:tc>
      </w:tr>
      <w:tr>
        <w:trPr>
          <w:trHeight w:val="35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106,6</w:t>
            </w:r>
          </w:p>
        </w:tc>
      </w:tr>
      <w:tr>
        <w:trPr>
          <w:trHeight w:val="71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60" w:after="6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Żywność, napoje bezalkoholowe i alkoholowe oraz wyroby tytoniowe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103,6</w:t>
            </w:r>
          </w:p>
        </w:tc>
      </w:tr>
      <w:tr>
        <w:trPr>
          <w:trHeight w:val="494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60" w:after="6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ŻYWNOŚĆ I NAPOJE BEZALKOHOLOWE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103,3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Żywność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103,1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56"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56"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Ryż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100,6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96,9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56"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Mąka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96,3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56" w:left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Pieczywo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104,9</w:t>
            </w:r>
          </w:p>
        </w:tc>
      </w:tr>
      <w:tr>
        <w:trPr>
          <w:trHeight w:val="541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Makarony i produkty makaronowe 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102,9</w:t>
            </w:r>
          </w:p>
        </w:tc>
      </w:tr>
      <w:tr>
        <w:trPr>
          <w:trHeight w:val="29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56"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102,5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wołowe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103,2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cielęce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100,8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wieprzowe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99,6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99,9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drobiowe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99,1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Wędliny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99,4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104,7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Ryby i owoce morza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99,4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101,6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Mleko, sery i jaja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101,2</w:t>
            </w:r>
          </w:p>
        </w:tc>
      </w:tr>
      <w:tr>
        <w:trPr>
          <w:trHeight w:val="27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10" w:left="17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9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10"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100,7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99,5</w:t>
            </w:r>
          </w:p>
        </w:tc>
      </w:tr>
      <w:tr>
        <w:trPr>
          <w:trHeight w:val="501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Jogurt, śmietana, napoje i desery mleczne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102,7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10"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Sery i twarogi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100,6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101,6</w:t>
            </w:r>
          </w:p>
        </w:tc>
      </w:tr>
      <w:tr>
        <w:trPr>
          <w:trHeight w:val="254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10"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Jaja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98,6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42" w:left="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Oleje i tłuszcze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102,6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100,6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84" w:left="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roślinne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92,5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84" w:left="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zwierzęce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124,3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120,6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107,5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54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masło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127,1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123,2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108,7</w:t>
            </w:r>
          </w:p>
        </w:tc>
      </w:tr>
      <w:tr>
        <w:trPr>
          <w:trHeight w:val="29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Owoce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102,5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Warzywa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100,8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102,8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Cukier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64,8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93,4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66,5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85,1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76,1</w:t>
            </w:r>
          </w:p>
        </w:tc>
      </w:tr>
      <w:tr>
        <w:trPr>
          <w:trHeight w:val="314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bezalkoholowe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105,6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Kawa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103,7</w:t>
            </w:r>
          </w:p>
        </w:tc>
      </w:tr>
      <w:tr>
        <w:trPr>
          <w:trHeight w:val="364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Herbata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108,8</w:t>
            </w:r>
          </w:p>
        </w:tc>
      </w:tr>
      <w:tr>
        <w:trPr>
          <w:trHeight w:val="269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80" w:after="80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Kakao i czekolada w proszku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105,9</w:t>
            </w:r>
          </w:p>
        </w:tc>
      </w:tr>
      <w:tr>
        <w:trPr>
          <w:trHeight w:val="30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80" w:after="80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Wody mineralne lub źródlane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104,2</w:t>
            </w:r>
          </w:p>
        </w:tc>
      </w:tr>
      <w:tr>
        <w:trPr>
          <w:trHeight w:val="317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Soki owocowe i warzywne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110,7</w:t>
            </w:r>
          </w:p>
        </w:tc>
      </w:tr>
      <w:tr>
        <w:trPr>
          <w:trHeight w:val="523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6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ALKOHOLOWE I WYROBY TYTONIOWE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99,4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alkoholowe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103,4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108,7</w:t>
            </w:r>
          </w:p>
        </w:tc>
      </w:tr>
      <w:tr>
        <w:trPr>
          <w:trHeight w:val="303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 I OBUWIE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99,7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98,6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Obuwie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95,5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102,6</w:t>
            </w:r>
          </w:p>
        </w:tc>
      </w:tr>
      <w:tr>
        <w:trPr>
          <w:trHeight w:val="39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MIESZKANIE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</w:tr>
      <w:tr>
        <w:trPr>
          <w:trHeight w:val="551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60" w:after="6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UŻYTKOWANIE MIESZKANIA LUB DOMU I NOŚNIKI ENERGII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105,5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Opłaty na rzecz właścicieli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105,1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Zaopatrywanie w wodę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113,1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111,2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Wywóz śmieci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102,1</w:t>
            </w:r>
          </w:p>
        </w:tc>
      </w:tr>
      <w:tr>
        <w:trPr>
          <w:trHeight w:val="338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kanalizacyjne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111,3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111,5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110,9</w:t>
            </w:r>
          </w:p>
        </w:tc>
      </w:tr>
      <w:tr>
        <w:trPr>
          <w:trHeight w:val="302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Nośniki energii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104,3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00"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elektryczna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121,2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121,2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109,5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00"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107,4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00"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Opał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99,7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92,1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87,2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00"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cieplna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107,1</w:t>
            </w:r>
          </w:p>
        </w:tc>
      </w:tr>
      <w:tr>
        <w:trPr>
          <w:trHeight w:val="70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60" w:after="6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WYPOSAŻENIE MIESZKANIA I PROWADZENIE GOSPODARSTWA DOMOWEGO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101,9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Meble, artykuły dekoracyjne, sprzęt oświetleniowy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102,2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gospodarstwa domowego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98,4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czyszczące i konserwujące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103,7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prowadzeniem gospodarstwa domowego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112,2</w:t>
            </w:r>
          </w:p>
        </w:tc>
      </w:tr>
      <w:tr>
        <w:trPr>
          <w:trHeight w:val="398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ZDROWIE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104,2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farmaceutyczne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101,8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i sprzęt terapeutyczny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102,7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lekarskie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109,4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stomatologiczne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108,9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szpitalne i sanatoryjne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109,7</w:t>
            </w:r>
          </w:p>
        </w:tc>
      </w:tr>
      <w:tr>
        <w:trPr>
          <w:trHeight w:val="218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100,6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98,2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9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transportu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94,9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samochody osobowe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94,6</w:t>
            </w:r>
          </w:p>
        </w:tc>
      </w:tr>
      <w:tr>
        <w:trPr>
          <w:trHeight w:val="543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Paliwa do prywatnych środków </w:t>
            </w:r>
          </w:p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transportu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97,6</w:t>
            </w:r>
          </w:p>
        </w:tc>
      </w:tr>
      <w:tr>
        <w:trPr>
          <w:trHeight w:val="25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00"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 napędowy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100,8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97,5</w:t>
            </w:r>
          </w:p>
        </w:tc>
      </w:tr>
      <w:tr>
        <w:trPr>
          <w:trHeight w:val="282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200"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Benzyna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95,8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97,9</w:t>
            </w:r>
          </w:p>
        </w:tc>
      </w:tr>
      <w:tr>
        <w:trPr>
          <w:trHeight w:val="683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 ciekły i pozostałe paliwa do prywatnych środków transportu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96,1</w:t>
            </w:r>
          </w:p>
        </w:tc>
      </w:tr>
      <w:tr>
        <w:trPr>
          <w:trHeight w:val="295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transportowe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105,6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97,2</w:t>
            </w:r>
          </w:p>
        </w:tc>
      </w:tr>
      <w:tr>
        <w:trPr>
          <w:trHeight w:val="340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ŁĄCZNOŚĆ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102,6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telekomunikacyjny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86,4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86,4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95,3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88,8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telekomunikacyjne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103,0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REKREACJA I KULTURA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99,7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104,7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audiowizualny, fotograficzny i informatyczny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89,2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92,2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kulturą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102,0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10"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sportem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107,8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110"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kulturą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99,2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569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opłaty radiowo-telewizyjne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96,3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Książki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102,5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Gazety i czasopisma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97,2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104,9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Artykuły piśmienne, malarskie, </w:t>
            </w:r>
          </w:p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kreślarskie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99,6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103,1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114,7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99,7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94,7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112,7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w kraju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100,9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106,2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za granicą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119,0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119,1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116,0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EDUKACJA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100,0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105,2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109,1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RESTAURACJE I HOTELE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107,8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INNE TOWARY I USŁUGI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99,7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104,5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Higiena osobista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103,9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fryzjerskie, kosmetyczne i pielęgnacyjne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108,5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Artykuły do higieny osobistej i kosmetyki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100,5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102,9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Opieka społeczna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75,1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75,8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94,7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87,8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107,0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Ubezpieczenia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100,2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107,4</w:t>
            </w:r>
          </w:p>
        </w:tc>
      </w:tr>
      <w:tr>
        <w:trPr>
          <w:trHeight w:val="266" w:hRule="atLeast"/>
        </w:trPr>
        <w:tc>
          <w:tcPr>
            <w:tcW w:w="2906" w:type="dxa"/>
            <w:tcBorders>
              <w:top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60" w:after="0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finansowe świadczone przez banki i inne instytucje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100,1</w:t>
            </w:r>
          </w:p>
        </w:tc>
        <w:tc>
          <w:tcPr>
            <w:tcW w:w="991" w:type="dxa"/>
            <w:tcBorders>
              <w:top w:val="single" w:sz="4" w:space="0" w:color="212492"/>
              <w:left w:val="single" w:sz="4" w:space="0" w:color="212492"/>
            </w:tcBorders>
            <w:shd w:color="auto" w:fill="auto" w:val="clear"/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>
            <w:pPr>
              <w:pStyle w:val="Normal"/>
              <w:spacing w:before="120" w:after="12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/>
              <w:t>109,5</w:t>
            </w:r>
          </w:p>
        </w:tc>
      </w:tr>
    </w:tbl>
    <w:p>
      <w:pPr>
        <w:pStyle w:val="Normal"/>
        <w:tabs>
          <w:tab w:val="clear" w:pos="708"/>
          <w:tab w:val="left" w:pos="7050" w:leader="none"/>
        </w:tabs>
        <w:spacing w:lineRule="auto" w:line="240" w:before="0" w:after="0"/>
        <w:rPr>
          <w:rFonts w:eastAsia="" w:cs="Times New Roman" w:eastAsiaTheme="minorEastAsia"/>
          <w:color w:val="222222"/>
          <w:sz w:val="16"/>
          <w:szCs w:val="16"/>
          <w:lang w:eastAsia="en-GB"/>
        </w:rPr>
      </w:pPr>
      <w:r>
        <w:rPr>
          <w:rFonts w:eastAsia="" w:cs="Times New Roman" w:eastAsiaTheme="minorEastAsia"/>
          <w:color w:val="222222"/>
          <w:sz w:val="16"/>
          <w:szCs w:val="16"/>
          <w:lang w:eastAsia="en-GB"/>
        </w:rPr>
        <w:tab/>
      </w:r>
    </w:p>
    <w:p>
      <w:pPr>
        <w:pStyle w:val="Normal"/>
        <w:spacing w:lineRule="auto" w:line="259" w:before="1440" w:after="160"/>
        <w:rPr>
          <w:color w:val="222222"/>
          <w:szCs w:val="19"/>
        </w:rPr>
      </w:pPr>
      <w:r>
        <w:rPr>
          <w:color w:val="222222"/>
          <w:szCs w:val="19"/>
        </w:rPr>
      </w:r>
    </w:p>
    <w:p>
      <w:pPr>
        <w:sectPr>
          <w:headerReference w:type="even" r:id="rId7"/>
          <w:headerReference w:type="default" r:id="rId8"/>
          <w:headerReference w:type="first" r:id="rId9"/>
          <w:footerReference w:type="even" r:id="rId10"/>
          <w:footerReference w:type="default" r:id="rId11"/>
          <w:footerReference w:type="first" r:id="rId12"/>
          <w:type w:val="nextPage"/>
          <w:pgSz w:w="11906" w:h="16838"/>
          <w:pgMar w:left="720" w:right="3259" w:gutter="0" w:header="284" w:top="341" w:footer="283" w:bottom="34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spacing w:lineRule="auto" w:line="259" w:before="1440" w:after="160"/>
        <w:rPr>
          <w:szCs w:val="19"/>
          <w:highlight w:val="yellow"/>
          <w:lang w:eastAsia="pl-PL"/>
        </w:rPr>
      </w:pPr>
      <w:r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</w:t>
      </w:r>
    </w:p>
    <w:tbl>
      <w:tblPr>
        <w:tblW w:w="9853" w:type="dxa"/>
        <w:jc w:val="left"/>
        <w:tblInd w:w="2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26"/>
        <w:gridCol w:w="4926"/>
      </w:tblGrid>
      <w:tr>
        <w:trPr>
          <w:trHeight w:val="1626" w:hRule="atLeast"/>
        </w:trPr>
        <w:tc>
          <w:tcPr>
            <w:tcW w:w="4926" w:type="dxa"/>
            <w:tcBorders/>
          </w:tcPr>
          <w:p>
            <w:pPr>
              <w:pStyle w:val="Normal"/>
              <w:spacing w:lineRule="auto" w:line="276" w:before="0" w:after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Opracowanie merytoryczne:</w:t>
            </w:r>
          </w:p>
          <w:p>
            <w:pPr>
              <w:pStyle w:val="Normal"/>
              <w:spacing w:lineRule="auto" w:line="276" w:before="0" w:after="120"/>
              <w:rPr>
                <w:rFonts w:cs="Arial"/>
                <w:b/>
                <w:color w:themeColor="text1" w:val="000000"/>
                <w:sz w:val="20"/>
              </w:rPr>
            </w:pPr>
            <w:r>
              <w:rPr>
                <w:rFonts w:cs="Arial"/>
                <w:b/>
                <w:color w:themeColor="text1" w:val="000000"/>
                <w:sz w:val="20"/>
              </w:rPr>
              <w:t>Departament Handlu i Usług</w:t>
            </w:r>
          </w:p>
          <w:p>
            <w:pPr>
              <w:pStyle w:val="Normal"/>
              <w:spacing w:lineRule="auto" w:line="276" w:before="0"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Dyrektor Ewa Adach-Stankiewicz</w:t>
            </w:r>
          </w:p>
          <w:p>
            <w:pPr>
              <w:pStyle w:val="Normal"/>
              <w:keepNext w:val="true"/>
              <w:keepLines/>
              <w:numPr>
                <w:ilvl w:val="0"/>
                <w:numId w:val="0"/>
              </w:numPr>
              <w:spacing w:lineRule="auto" w:line="240" w:before="0" w:after="120"/>
              <w:outlineLvl w:val="2"/>
              <w:rPr>
                <w:rFonts w:eastAsia="" w:cs="Arial" w:eastAsiaTheme="majorEastAsia"/>
                <w:color w:themeColor="text1" w:val="000000"/>
                <w:sz w:val="20"/>
                <w:szCs w:val="24"/>
              </w:rPr>
            </w:pPr>
            <w:r>
              <w:rPr>
                <w:rFonts w:eastAsia="" w:cs="Arial" w:eastAsiaTheme="majorEastAsia"/>
                <w:color w:themeColor="text1" w:val="000000"/>
                <w:sz w:val="20"/>
                <w:szCs w:val="24"/>
              </w:rPr>
              <w:t>Tel: 22 608 31 24</w:t>
            </w:r>
          </w:p>
        </w:tc>
        <w:tc>
          <w:tcPr>
            <w:tcW w:w="4926" w:type="dxa"/>
            <w:tcBorders/>
          </w:tcPr>
          <w:p>
            <w:pPr>
              <w:pStyle w:val="Normal"/>
              <w:spacing w:lineRule="auto" w:line="276" w:before="0" w:after="120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Rozpowszechnianie:</w:t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>
            <w:pPr>
              <w:pStyle w:val="Normal"/>
              <w:rPr/>
            </w:pPr>
            <w:r>
              <w:rPr/>
              <w:t>Tel. komórkowy: +48 695 255 032</w:t>
            </w:r>
          </w:p>
          <w:p>
            <w:pPr>
              <w:pStyle w:val="Normal"/>
              <w:spacing w:before="0" w:after="0"/>
              <w:ind w:hanging="1491" w:left="1491"/>
              <w:rPr/>
            </w:pPr>
            <w:r>
              <w:rPr/>
              <w:t xml:space="preserve">Tel. stacjonarne: +48 22 608 38 04 </w:t>
              <w:br/>
              <w:t>+48 22 608 30 09</w:t>
            </w:r>
          </w:p>
          <w:p>
            <w:pPr>
              <w:pStyle w:val="Normal"/>
              <w:spacing w:before="0" w:after="120"/>
              <w:ind w:hanging="1491" w:left="2982"/>
              <w:rPr>
                <w:lang w:val="en-GB"/>
              </w:rPr>
            </w:pPr>
            <w:r>
              <w:rPr>
                <w:lang w:val="en-GB"/>
              </w:rPr>
              <w:t>+48 22 449 41 45</w:t>
            </w:r>
          </w:p>
          <w:p>
            <w:pPr>
              <w:pStyle w:val="Normal"/>
              <w:rPr>
                <w:rFonts w:eastAsia="" w:cs="Arial" w:eastAsiaTheme="majorEastAsia"/>
                <w:b/>
                <w:color w:themeColor="text1" w:val="000000"/>
                <w:sz w:val="20"/>
                <w:szCs w:val="20"/>
                <w:u w:val="single"/>
                <w:lang w:val="en-GB"/>
              </w:rPr>
            </w:pPr>
            <w:r>
              <w:rPr>
                <w:b/>
                <w:color w:themeColor="text1" w:val="000000"/>
                <w:sz w:val="20"/>
                <w:lang w:val="en-GB"/>
              </w:rPr>
              <w:t>e-mail:</w:t>
            </w:r>
            <w:r>
              <w:rPr>
                <w:color w:themeColor="text1" w:val="000000"/>
                <w:sz w:val="20"/>
                <w:lang w:val="en-GB"/>
              </w:rPr>
              <w:t xml:space="preserve"> </w:t>
            </w:r>
            <w:hyperlink r:id="rId13">
              <w:r>
                <w:rPr>
                  <w:rStyle w:val="Style2"/>
                  <w:rFonts w:eastAsia="" w:cs="Arial" w:eastAsiaTheme="majorEastAsia"/>
                  <w:b/>
                  <w:color w:themeColor="text1" w:val="000000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>
            <w:pPr>
              <w:pStyle w:val="Normal"/>
              <w:spacing w:before="120" w:after="120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</w:r>
          </w:p>
        </w:tc>
      </w:tr>
      <w:tr>
        <w:trPr>
          <w:trHeight w:val="418" w:hRule="atLeast"/>
        </w:trPr>
        <w:tc>
          <w:tcPr>
            <w:tcW w:w="4926" w:type="dxa"/>
            <w:vMerge w:val="restart"/>
            <w:tcBorders/>
          </w:tcPr>
          <w:p>
            <w:pPr>
              <w:pStyle w:val="Normal"/>
              <w:spacing w:before="120" w:after="120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</w:r>
          </w:p>
        </w:tc>
        <w:tc>
          <w:tcPr>
            <w:tcW w:w="4926" w:type="dxa"/>
            <w:tcBorders/>
            <w:vAlign w:val="center"/>
          </w:tcPr>
          <w:p>
            <w:pPr>
              <w:pStyle w:val="Normal"/>
              <w:spacing w:before="120" w:after="120"/>
              <w:ind w:firstLine="680"/>
              <w:rPr>
                <w:sz w:val="18"/>
              </w:rPr>
            </w:pPr>
            <w: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www.stat.gov.pl</w:t>
            </w:r>
          </w:p>
        </w:tc>
      </w:tr>
      <w:tr>
        <w:trPr>
          <w:trHeight w:val="418" w:hRule="atLeast"/>
        </w:trPr>
        <w:tc>
          <w:tcPr>
            <w:tcW w:w="4926" w:type="dxa"/>
            <w:vMerge w:val="continue"/>
            <w:tcBorders/>
          </w:tcPr>
          <w:p>
            <w:pPr>
              <w:pStyle w:val="Normal"/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4926" w:type="dxa"/>
            <w:tcBorders/>
            <w:vAlign w:val="center"/>
          </w:tcPr>
          <w:p>
            <w:pPr>
              <w:pStyle w:val="Normal"/>
              <w:spacing w:before="120" w:after="120"/>
              <w:ind w:firstLine="680"/>
              <w:rPr>
                <w:sz w:val="18"/>
              </w:rPr>
            </w:pPr>
            <w: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635</wp:posOffset>
                  </wp:positionV>
                  <wp:extent cx="251460" cy="251460"/>
                  <wp:effectExtent l="0" t="0" r="0" b="0"/>
                  <wp:wrapNone/>
                  <wp:docPr id="14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22" descr="Ikonka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@GUS_STAT</w:t>
            </w:r>
            <w:r>
              <w:rPr>
                <w:sz w:val="20"/>
                <w:lang w:eastAsia="pl-PL"/>
              </w:rPr>
              <w:t xml:space="preserve"> </w:t>
            </w:r>
          </w:p>
        </w:tc>
      </w:tr>
      <w:tr>
        <w:trPr>
          <w:trHeight w:val="476" w:hRule="atLeast"/>
        </w:trPr>
        <w:tc>
          <w:tcPr>
            <w:tcW w:w="4926" w:type="dxa"/>
            <w:vMerge w:val="continue"/>
            <w:tcBorders/>
          </w:tcPr>
          <w:p>
            <w:pPr>
              <w:pStyle w:val="Normal"/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4926" w:type="dxa"/>
            <w:tcBorders/>
          </w:tcPr>
          <w:p>
            <w:pPr>
              <w:pStyle w:val="Normal"/>
              <w:spacing w:before="120" w:after="120"/>
              <w:ind w:firstLine="680"/>
              <w:rPr>
                <w:sz w:val="18"/>
              </w:rPr>
            </w:pPr>
            <w: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@GlownyUrzadStatystyczny</w:t>
            </w:r>
            <w:r>
              <w:rPr>
                <w:sz w:val="20"/>
                <w:lang w:eastAsia="pl-PL"/>
              </w:rPr>
              <w:t xml:space="preserve"> </w:t>
            </w:r>
          </w:p>
        </w:tc>
      </w:tr>
      <w:tr>
        <w:trPr>
          <w:trHeight w:val="426" w:hRule="atLeast"/>
        </w:trPr>
        <w:tc>
          <w:tcPr>
            <w:tcW w:w="4926" w:type="dxa"/>
            <w:tcBorders/>
          </w:tcPr>
          <w:p>
            <w:pPr>
              <w:pStyle w:val="Normal"/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4926" w:type="dxa"/>
            <w:tcBorders/>
          </w:tcPr>
          <w:p>
            <w:pPr>
              <w:pStyle w:val="Normal"/>
              <w:spacing w:before="120" w:after="120"/>
              <w:ind w:firstLine="680"/>
              <w:rPr>
                <w:sz w:val="20"/>
                <w:lang w:eastAsia="pl-PL"/>
              </w:rPr>
            </w:pPr>
            <w: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6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5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gus_stat</w:t>
            </w:r>
          </w:p>
        </w:tc>
      </w:tr>
      <w:tr>
        <w:trPr>
          <w:trHeight w:val="504" w:hRule="atLeast"/>
        </w:trPr>
        <w:tc>
          <w:tcPr>
            <w:tcW w:w="4926" w:type="dxa"/>
            <w:tcBorders/>
          </w:tcPr>
          <w:p>
            <w:pPr>
              <w:pStyle w:val="Normal"/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4926" w:type="dxa"/>
            <w:tcBorders/>
          </w:tcPr>
          <w:p>
            <w:pPr>
              <w:pStyle w:val="Normal"/>
              <w:spacing w:before="120" w:after="120"/>
              <w:ind w:firstLine="680"/>
              <w:rPr>
                <w:sz w:val="20"/>
                <w:lang w:eastAsia="pl-PL"/>
              </w:rPr>
            </w:pPr>
            <w: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7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1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glownyurzadstatystycznygus</w:t>
            </w:r>
          </w:p>
        </w:tc>
      </w:tr>
      <w:tr>
        <w:trPr>
          <w:trHeight w:val="1546" w:hRule="atLeast"/>
        </w:trPr>
        <w:tc>
          <w:tcPr>
            <w:tcW w:w="4926" w:type="dxa"/>
            <w:tcBorders/>
          </w:tcPr>
          <w:p>
            <w:pPr>
              <w:pStyle w:val="Normal"/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4926" w:type="dxa"/>
            <w:tcBorders/>
          </w:tcPr>
          <w:p>
            <w:pPr>
              <w:pStyle w:val="Normal"/>
              <w:spacing w:before="120" w:after="120"/>
              <w:ind w:firstLine="680"/>
              <w:rPr>
                <w:sz w:val="20"/>
                <w:lang w:eastAsia="pl-PL"/>
              </w:rPr>
            </w:pPr>
            <w:r>
              <w:rPr>
                <w:sz w:val="20"/>
                <w:lang w:eastAsia="pl-PL"/>
              </w:rP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8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4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lang w:eastAsia="pl-PL"/>
              </w:rPr>
              <w:t>glownyurzadstatystyczny</w:t>
            </w:r>
          </w:p>
        </w:tc>
      </w:tr>
      <w:tr>
        <w:trPr>
          <w:trHeight w:val="4114" w:hRule="atLeast"/>
        </w:trPr>
        <w:tc>
          <w:tcPr>
            <w:tcW w:w="9852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shd w:val="clear" w:color="auto" w:fill="D9D9D9" w:themeFill="background1" w:themeFillShade="d9"/>
              <w:spacing w:before="120" w:after="120"/>
              <w:rPr>
                <w:b/>
              </w:rPr>
            </w:pPr>
            <w:r>
              <w:rPr>
                <w:b/>
              </w:rPr>
              <w:t>Powiązane opracowania</w:t>
            </w:r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0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Komunikaty i obwieszczenia Prezesa GUS</w:t>
              </w:r>
            </w:hyperlink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1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Informacje sygnalne</w:t>
              </w:r>
            </w:hyperlink>
          </w:p>
          <w:p>
            <w:pPr>
              <w:pStyle w:val="Normal"/>
              <w:spacing w:lineRule="auto" w:line="240" w:before="360" w:after="120"/>
              <w:rPr>
                <w:b/>
                <w:color w:themeColor="text1" w:val="000000"/>
                <w:szCs w:val="24"/>
              </w:rPr>
            </w:pPr>
            <w:hyperlink r:id="rId22">
              <w:r>
                <w:rPr>
                  <w:b/>
                  <w:color w:themeColor="text1" w:val="000000"/>
                  <w:szCs w:val="24"/>
                </w:rPr>
                <w:t>Temat dostępny w bazach danych</w:t>
              </w:r>
            </w:hyperlink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3" w:tooltip="Link do bazy danych Dziedzinowa Baza Wiedzy (DBW) Ceny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Dziedzinowa Baza Wiedzy (DBW) Ceny</w:t>
              </w:r>
            </w:hyperlink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4" w:tooltip="Link do bazy danych Bank Danych Makroekonomicznych (BDM)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Bank Danych Makroekonomicznych (BDM)</w:t>
              </w:r>
            </w:hyperlink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5" w:tooltip="Link do bazy danych Bank Danych Lokalnych (BDL)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Bank Danych Lokalnych (BDL)</w:t>
              </w:r>
            </w:hyperlink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6" w:tooltip="Link do obszaru tematycznego Wskaźniki cen w ramach obszaru Ceny. Handel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Wskaźniki cen (Obszary tematyczne: Ceny. Handel)</w:t>
              </w:r>
            </w:hyperlink>
          </w:p>
          <w:p>
            <w:pPr>
              <w:pStyle w:val="Normal"/>
              <w:rPr>
                <w:rFonts w:cs="Times New Roman"/>
                <w:color w:val="0000FF"/>
                <w:u w:val="single"/>
              </w:rPr>
            </w:pPr>
            <w:hyperlink r:id="rId27" w:tooltip="Link do obszaru tematycznego Ceny w ramach obszaru Ceny. Handel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Ceny (Obszary tematyczne: Ceny. Handel)</w:t>
              </w:r>
            </w:hyperlink>
          </w:p>
          <w:p>
            <w:pPr>
              <w:pStyle w:val="Normal"/>
              <w:shd w:val="clear" w:color="auto" w:fill="D9D9D9" w:themeFill="background1" w:themeFillShade="d9"/>
              <w:spacing w:before="360" w:after="120"/>
              <w:rPr>
                <w:b/>
                <w:color w:themeColor="text1" w:val="000000"/>
                <w:szCs w:val="24"/>
              </w:rPr>
            </w:pPr>
            <w:r>
              <w:rPr>
                <w:b/>
                <w:color w:themeColor="text1" w:val="000000"/>
                <w:szCs w:val="24"/>
              </w:rPr>
              <w:t>Ważniejsze pojęcia dostępne w słowniku</w:t>
            </w:r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8" w:tooltip="Link do pojęcia wskaźniki cen towarów i usług konsumpcyjnych w ramach słownika pojęć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Wskaźnik cen towarów i usług konsumpcyjnych</w:t>
              </w:r>
            </w:hyperlink>
          </w:p>
          <w:p>
            <w:pPr>
              <w:pStyle w:val="Normal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do pojęcia cena detaliczna w ramach słownika pojęć">
              <w:r>
                <w:rPr>
                  <w:rStyle w:val="Style2"/>
                  <w:rFonts w:cs="Times New Roman"/>
                  <w:color w:val="0000FF"/>
                  <w:sz w:val="18"/>
                  <w:u w:val="single"/>
                </w:rPr>
                <w:t>Cena detaliczna</w:t>
              </w:r>
            </w:hyperlink>
          </w:p>
          <w:p>
            <w:pPr>
              <w:pStyle w:val="Normal"/>
              <w:rPr>
                <w:b/>
                <w:color w:themeColor="text1" w:val="000000"/>
                <w:szCs w:val="24"/>
              </w:rPr>
            </w:pPr>
            <w:r>
              <w:rPr>
                <w:b/>
                <w:color w:themeColor="text1" w:val="000000"/>
                <w:szCs w:val="24"/>
              </w:rPr>
            </w:r>
          </w:p>
          <w:p>
            <w:pPr>
              <w:pStyle w:val="Normal"/>
              <w:rPr>
                <w:b/>
                <w:color w:themeColor="text1" w:val="000000"/>
                <w:szCs w:val="24"/>
              </w:rPr>
            </w:pPr>
            <w:r>
              <w:rPr>
                <w:b/>
                <w:color w:themeColor="text1" w:val="000000"/>
                <w:szCs w:val="24"/>
              </w:rPr>
            </w:r>
          </w:p>
          <w:p>
            <w:pPr>
              <w:pStyle w:val="Normal"/>
              <w:spacing w:before="120" w:after="120"/>
              <w:rPr>
                <w:b/>
                <w:color w:themeColor="text1" w:val="000000"/>
                <w:szCs w:val="24"/>
              </w:rPr>
            </w:pPr>
            <w:r>
              <w:rPr>
                <w:b/>
                <w:color w:themeColor="text1" w:val="000000"/>
                <w:szCs w:val="24"/>
              </w:rPr>
            </w:r>
          </w:p>
        </w:tc>
      </w:tr>
    </w:tbl>
    <w:p>
      <w:pPr>
        <w:pStyle w:val="Normal"/>
        <w:rPr>
          <w:sz w:val="18"/>
        </w:rPr>
      </w:pPr>
      <w:r>
        <w:rPr>
          <w:sz w:val="18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8"/>
        </w:rPr>
      </w:pPr>
      <w:r>
        <w:rPr>
          <w:sz w:val="18"/>
        </w:rPr>
      </w:r>
    </w:p>
    <w:p>
      <w:pPr>
        <w:pStyle w:val="Normal"/>
        <w:spacing w:before="120" w:after="120"/>
        <w:rPr>
          <w:sz w:val="18"/>
        </w:rPr>
      </w:pPr>
      <w:r>
        <w:rPr>
          <w:sz w:val="18"/>
        </w:rPr>
      </w:r>
    </w:p>
    <w:sectPr>
      <w:headerReference w:type="default" r:id="rId30"/>
      <w:headerReference w:type="first" r:id="rId31"/>
      <w:footerReference w:type="default" r:id="rId32"/>
      <w:footerReference w:type="first" r:id="rId33"/>
      <w:type w:val="nextPage"/>
      <w:pgSz w:w="11906" w:h="16838"/>
      <w:pgMar w:left="720" w:right="3119" w:gutter="0" w:header="170" w:top="720" w:footer="283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Fira Sans Light">
    <w:charset w:val="ee"/>
    <w:family w:val="roman"/>
    <w:pitch w:val="variable"/>
    <w:embedRegular r:id="rId14" w:fontKey="{0E014A78-CABC-4EF0-12AC-5CD89AEFDE0E}"/>
  </w:font>
  <w:font w:name="Fira Sans">
    <w:charset w:val="ee"/>
    <w:family w:val="swiss"/>
    <w:pitch w:val="variable"/>
    <w:embedRegular r:id="rId15" w:fontKey="{0F014A78-CABC-4EF0-12AC-5CD89AEFDE0F}"/>
    <w:embedBold r:id="rId16" w:fontKey="{10014A78-CABC-4EF0-12AC-5CD89AEFDE10}"/>
  </w:font>
  <w:font w:name="Fira Sans SemiBold">
    <w:charset w:val="ee"/>
    <w:family w:val="swiss"/>
    <w:pitch w:val="variable"/>
    <w:embedRegular r:id="rId17" w:fontKey="{11014A78-CABC-4EF0-12AC-5CD89AEFDE11}"/>
  </w:font>
  <w:font w:name="Fira Sans Medium">
    <w:charset w:val="ee"/>
    <w:family w:val="swiss"/>
    <w:pitch w:val="variable"/>
    <w:embedRegular r:id="rId18" w:fontKey="{12014A78-CABC-4EF0-12AC-5CD89AEFDE12}"/>
  </w:font>
  <w:font w:name="Fira Sans Medium">
    <w:charset w:val="ee"/>
    <w:family w:val="roman"/>
    <w:pitch w:val="variable"/>
  </w:font>
  <w:font w:name="Segoe UI">
    <w:charset w:val="ee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Fira Sans Extra Condensed SemiB">
    <w:charset w:val="ee"/>
    <w:family w:val="swiss"/>
    <w:pitch w:val="variable"/>
    <w:embedRegular r:id="rId23" w:fontKey="{17014A78-CABC-4EF0-12AC-5CD89AEFDE17}"/>
  </w:font>
  <w:font w:name="Liberation Sans">
    <w:altName w:val="Arial"/>
    <w:charset w:val="ee"/>
    <w:family w:val="swiss"/>
    <w:pitch w:val="variable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Wingdings">
    <w:charset w:val="02"/>
    <w:family w:val="swiss"/>
    <w:pitch w:val="variable"/>
    <w:embedRegular r:id="rId28" w:fontKey="{1C014A78-CABC-4EF0-12AC-5CD89AEFDE1C}"/>
    <w:embedBold r:id="rId29" w:fontKey="{1D014A78-CABC-4EF0-12AC-5CD89AEFDE1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lineRule="auto" w:line="240" w:before="120" w:after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939526779"/>
    </w:sdtPr>
    <w:sdtContent>
      <w:p>
        <w:pPr>
          <w:pStyle w:val="Footer"/>
          <w:spacing w:before="120" w:after="0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539934231"/>
    </w:sdtPr>
    <w:sdtContent>
      <w:p>
        <w:pPr>
          <w:pStyle w:val="Footer"/>
          <w:spacing w:before="120" w:after="0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367255972"/>
    </w:sdtPr>
    <w:sdtContent>
      <w:p>
        <w:pPr>
          <w:pStyle w:val="Footer"/>
          <w:spacing w:before="120" w:after="0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10</w:t>
        </w:r>
        <w:r>
          <w:rPr/>
          <w:fldChar w:fldCharType="end"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lineRule="auto" w:line="240" w:before="120" w:after="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lineRule="auto" w:line="240" w:before="120" w:after="0"/>
      <w:rPr/>
    </w:pPr>
    <w:r>
      <w:rPr/>
      <mc:AlternateContent>
        <mc:Choice Requires="wps">
          <w:drawing>
            <wp:anchor behindDoc="1" distT="0" distB="7620" distL="0" distR="0" simplePos="0" locked="0" layoutInCell="1" allowOverlap="1" relativeHeight="10" wp14:anchorId="5ACDCD6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8" name="Prostokąt 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3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93" path="m0,0l-2147483645,0l-2147483645,-2147483646l0,-2147483646xe" fillcolor="#f2f2f2" stroked="f" o:allowincell="f" style="position:absolute;margin-left:410.6pt;margin-top:-14.05pt;width:147.55pt;height:1785.8pt;mso-wrap-style:none;v-text-anchor:middle" wp14:anchorId="5ACDCD67">
              <v:fill o:detectmouseclick="t" type="solid" color2="#0d0d0d"/>
              <v:stroke color="#3465a4" weight="12600" joinstyle="miter" endcap="flat"/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right" w:pos="8067" w:leader="none"/>
      </w:tabs>
      <w:spacing w:before="120" w:after="0"/>
      <w:rPr>
        <w:lang w:eastAsia="pl-PL"/>
      </w:rPr>
    </w:pPr>
    <w:r>
      <mc:AlternateContent>
        <mc:Choice Requires="wps">
          <w:drawing>
            <wp:anchor behindDoc="1" distT="635" distB="3175" distL="114300" distR="114300" simplePos="0" locked="0" layoutInCell="0" allowOverlap="1" relativeHeight="11" wp14:anchorId="56364EBE">
              <wp:simplePos x="0" y="0"/>
              <wp:positionH relativeFrom="column">
                <wp:posOffset>5222240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" name="Prostokąt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01592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10" path="m0,0l-2147483645,0l-2147483645,-2147483646l0,-2147483646xe" fillcolor="#f2f2f2" stroked="f" o:allowincell="f" style="position:absolute;margin-left:411.2pt;margin-top:39.05pt;width:147.35pt;height:788.6pt;mso-wrap-style:none;v-text-anchor:middle" wp14:anchorId="56364EBE">
              <v:fill o:detectmouseclick="t" type="solid" color2="#0d0d0d"/>
              <v:stroke color="#3465a4" joinstyle="round" endcap="flat"/>
              <w10:wrap type="square"/>
            </v:rect>
          </w:pict>
        </mc:Fallback>
      </mc:AlternateContent>
      <mc:AlternateContent>
        <mc:Choice Requires="wps">
          <w:drawing>
            <wp:anchor behindDoc="1" distT="0" distB="4445" distL="0" distR="0" simplePos="0" locked="0" layoutInCell="1" allowOverlap="1" relativeHeight="12" wp14:anchorId="16F1C85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0" name="Schemat blokowy: opóźnienie 6" descr="Napis &quot;Informacja sygnalna&quot;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640" cy="357480"/>
                      </a:xfrm>
                      <a:custGeom>
                        <a:avLst/>
                        <a:gdLst>
                          <a:gd name="textAreaLeft" fmla="*/ -360 w 1168200"/>
                          <a:gd name="textAreaRight" fmla="*/ 1168200 w 1168200"/>
                          <a:gd name="textAreaTop" fmla="*/ 0 h 202680"/>
                          <a:gd name="textAreaBottom" fmla="*/ 203040 h 202680"/>
                        </a:gdLst>
                        <a:ahLst/>
                        <a:rect l="textAreaLeft" t="textAreaTop" r="textAreaRight" b="textAreaBottom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"/>
                            <w:spacing w:lineRule="auto" w:line="240" w:before="0"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/>
      <w:drawing>
        <wp:inline distT="0" distB="0" distL="0" distR="0">
          <wp:extent cx="1153160" cy="720090"/>
          <wp:effectExtent l="0" t="0" r="0" b="0"/>
          <wp:docPr id="11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8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eastAsia="pl-PL"/>
      </w:rPr>
      <w:tab/>
    </w:r>
  </w:p>
  <w:p>
    <w:pPr>
      <w:pStyle w:val="Header"/>
      <w:rPr>
        <w:lang w:eastAsia="pl-PL"/>
      </w:rPr>
    </w:pPr>
    <w:r>
      <w:rPr>
        <w:lang w:eastAsia="pl-PL"/>
      </w:rPr>
      <mc:AlternateContent>
        <mc:Choice Requires="wps">
          <w:drawing>
            <wp:anchor behindDoc="1" distT="0" distB="6350" distL="0" distR="0" simplePos="0" locked="0" layoutInCell="1" allowOverlap="1" relativeHeight="14" wp14:anchorId="16FD857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2" name="Pole tekstowe 2" descr="15 stycznia 2025 roku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2440" cy="336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"/>
                            <w:spacing w:before="120" w:after="12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15.01.2025 r.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2" path="m0,0l-2147483645,0l-2147483645,-2147483646l0,-2147483646xe" stroked="f" o:allowincell="f" style="position:absolute;margin-left:411pt;margin-top:20.95pt;width:112.75pt;height:26.45pt;mso-wrap-style:square;v-text-anchor:top" wp14:anchorId="16FD857D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Zawartoramki"/>
                      <w:spacing w:before="120" w:after="12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15.01.2025 r.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lineRule="auto" w:line="240" w:before="120" w:after="0"/>
      <w:rPr/>
    </w:pPr>
    <w:r>
      <w:rPr/>
    </w:r>
  </w:p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123.15pt;height:124.95pt" o:bullet="t">
        <v:imagedata r:id="rId1" o:title=""/>
      </v:shape>
    </w:pict>
  </w:numPicBullet>
  <w:numPicBullet w:numPicBulletId="1">
    <w:pict>
      <v:shape style="width:124.05pt;height:124.9pt" o:bullet="t">
        <v:imagedata r:id="rId2" o:title=""/>
      </v:shape>
    </w:pict>
  </w:numPicBullet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sz w:val="19"/>
        <w:b w:val="false"/>
        <w:rFonts w:ascii="Fira Sans" w:hAnsi="Fira Sans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6" w:hanging="720"/>
      </w:pPr>
      <w:rPr>
        <w:rFonts w:ascii="Symbol" w:hAnsi="Symbol" w:cs="Symbol" w:hint="default"/>
        <w:sz w:val="19"/>
        <w:szCs w:val="19"/>
      </w:rPr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146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506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506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66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1866" w:hanging="144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226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226" w:hanging="180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TrueTypeFonts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ira Sans Light" w:hAnsi="Fira Sans Light" w:eastAsia="Fira Sans Light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/>
    <w:lsdException w:name="heading 4" w:uiPriority="9" w:semiHidden="1" w:unhideWhenUsed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74dd8"/>
    <w:pPr>
      <w:widowControl/>
      <w:suppressAutoHyphens w:val="false"/>
      <w:bidi w:val="0"/>
      <w:spacing w:lineRule="exact" w:line="240" w:before="120" w:after="120"/>
      <w:jc w:val="left"/>
    </w:pPr>
    <w:rPr>
      <w:rFonts w:ascii="Fira Sans" w:hAnsi="Fira Sans" w:eastAsia="Fira Sans Light" w:cs="" w:cstheme="minorBidi" w:eastAsiaTheme="minorHAnsi"/>
      <w:color w:val="auto"/>
      <w:kern w:val="0"/>
      <w:sz w:val="19"/>
      <w:szCs w:val="22"/>
      <w:lang w:val="pl-PL" w:eastAsia="en-US" w:bidi="ar-SA"/>
    </w:rPr>
  </w:style>
  <w:style w:type="paragraph" w:styleId="Heading1">
    <w:name w:val="heading 1"/>
    <w:basedOn w:val="Normal"/>
    <w:next w:val="Normal"/>
    <w:link w:val="Nagwek1Znak"/>
    <w:qFormat/>
    <w:rsid w:val="00cd1ebb"/>
    <w:pPr>
      <w:keepNext w:val="true"/>
      <w:spacing w:lineRule="auto" w:line="240" w:before="360" w:after="120"/>
      <w:outlineLvl w:val="0"/>
    </w:pPr>
    <w:rPr>
      <w:rFonts w:ascii="Fira Sans SemiBold" w:hAnsi="Fira Sans SemiBold" w:eastAsia="Times New Roman" w:cs="Times New Roman"/>
      <w:bCs/>
      <w:color w:val="001D77"/>
      <w:szCs w:val="24"/>
      <w:lang w:eastAsia="pl-PL"/>
    </w:rPr>
  </w:style>
  <w:style w:type="paragraph" w:styleId="Heading2">
    <w:name w:val="heading 2"/>
    <w:basedOn w:val="Normal"/>
    <w:next w:val="Normal"/>
    <w:link w:val="Nagwek2Znak"/>
    <w:unhideWhenUsed/>
    <w:qFormat/>
    <w:rsid w:val="007a2dc1"/>
    <w:pPr>
      <w:keepNext w:val="true"/>
      <w:keepLines/>
      <w:spacing w:before="40" w:after="0"/>
      <w:outlineLvl w:val="1"/>
    </w:pPr>
    <w:rPr>
      <w:rFonts w:ascii="Fira Sans Medium" w:hAnsi="Fira Sans Medium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7a2dc1"/>
    <w:pPr>
      <w:keepNext w:val="true"/>
      <w:keepLines/>
      <w:spacing w:before="40" w:after="0"/>
      <w:outlineLvl w:val="2"/>
    </w:pPr>
    <w:rPr>
      <w:rFonts w:ascii="Fira Sans Medium" w:hAnsi="Fira Sans Medium" w:eastAsia="" w:cs="" w:asciiTheme="majorHAnsi" w:cstheme="majorBidi" w:eastAsiaTheme="majorEastAsia" w:hAnsiTheme="majorHAnsi"/>
      <w:color w:themeColor="accent1" w:themeShade="7f" w:val="1F4D78"/>
      <w:sz w:val="24"/>
      <w:szCs w:val="24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437395"/>
    <w:pPr>
      <w:keepNext w:val="true"/>
      <w:keepLines/>
      <w:spacing w:before="40" w:after="0"/>
      <w:outlineLvl w:val="3"/>
    </w:pPr>
    <w:rPr>
      <w:rFonts w:ascii="Fira Sans Medium" w:hAnsi="Fira Sans Medium" w:eastAsia="" w:cs="" w:asciiTheme="majorHAnsi" w:cstheme="majorBidi" w:eastAsiaTheme="majorEastAsia" w:hAnsiTheme="majorHAnsi"/>
      <w:i/>
      <w:iCs/>
      <w:color w:themeColor="accent1" w:themeShade="bf" w:val="2E74B5"/>
    </w:rPr>
  </w:style>
  <w:style w:type="paragraph" w:styleId="Heading5">
    <w:name w:val="heading 5"/>
    <w:basedOn w:val="Normal"/>
    <w:next w:val="Normal"/>
    <w:link w:val="Nagwek5Znak"/>
    <w:unhideWhenUsed/>
    <w:qFormat/>
    <w:rsid w:val="007a2dc1"/>
    <w:pPr>
      <w:keepNext w:val="true"/>
      <w:keepLines/>
      <w:spacing w:before="40" w:after="0"/>
      <w:outlineLvl w:val="4"/>
    </w:pPr>
    <w:rPr>
      <w:rFonts w:ascii="Fira Sans Medium" w:hAnsi="Fira Sans Medium" w:eastAsia="" w:cs="" w:asciiTheme="majorHAnsi" w:cstheme="majorBidi" w:eastAsiaTheme="majorEastAsia" w:hAnsiTheme="majorHAnsi"/>
      <w:color w:themeColor="accent1" w:themeShade="bf" w:val="2E74B5"/>
    </w:rPr>
  </w:style>
  <w:style w:type="paragraph" w:styleId="Heading8">
    <w:name w:val="heading 8"/>
    <w:basedOn w:val="Normal"/>
    <w:next w:val="Normal"/>
    <w:link w:val="Nagwek8Znak"/>
    <w:unhideWhenUsed/>
    <w:qFormat/>
    <w:rsid w:val="007a2dc1"/>
    <w:pPr>
      <w:keepNext w:val="true"/>
      <w:keepLines/>
      <w:spacing w:before="40" w:after="0"/>
      <w:outlineLvl w:val="7"/>
    </w:pPr>
    <w:rPr>
      <w:rFonts w:ascii="Fira Sans Medium" w:hAnsi="Fira Sans Medium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paragraph" w:styleId="Heading9">
    <w:name w:val="heading 9"/>
    <w:basedOn w:val="Normal"/>
    <w:next w:val="Normal"/>
    <w:link w:val="Nagwek9Znak"/>
    <w:unhideWhenUsed/>
    <w:qFormat/>
    <w:rsid w:val="007a2dc1"/>
    <w:pPr>
      <w:keepNext w:val="true"/>
      <w:keepLines/>
      <w:spacing w:before="40" w:after="0"/>
      <w:outlineLvl w:val="8"/>
    </w:pPr>
    <w:rPr>
      <w:rFonts w:ascii="Fira Sans Medium" w:hAnsi="Fira Sans Medium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qFormat/>
    <w:rsid w:val="00cd1ebb"/>
    <w:rPr>
      <w:rFonts w:ascii="Fira Sans SemiBold" w:hAnsi="Fira Sans SemiBold" w:eastAsia="Times New Roman" w:cs="Times New Roman"/>
      <w:bCs/>
      <w:color w:val="001D77"/>
      <w:sz w:val="19"/>
      <w:szCs w:val="24"/>
      <w:lang w:eastAsia="pl-PL"/>
    </w:rPr>
  </w:style>
  <w:style w:type="character" w:styleId="Nagwek2Znak" w:customStyle="1">
    <w:name w:val="Nagłówek 2 Znak"/>
    <w:basedOn w:val="DefaultParagraphFont"/>
    <w:qFormat/>
    <w:rsid w:val="007a2dc1"/>
    <w:rPr>
      <w:rFonts w:ascii="Fira Sans Medium" w:hAnsi="Fira Sans Medium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character" w:styleId="Nagwek3Znak" w:customStyle="1">
    <w:name w:val="Nagłówek 3 Znak"/>
    <w:basedOn w:val="DefaultParagraphFont"/>
    <w:uiPriority w:val="9"/>
    <w:qFormat/>
    <w:rsid w:val="007a2dc1"/>
    <w:rPr>
      <w:rFonts w:ascii="Fira Sans Medium" w:hAnsi="Fira Sans Medium" w:eastAsia="" w:cs="" w:asciiTheme="majorHAnsi" w:cstheme="majorBidi" w:eastAsiaTheme="majorEastAsia" w:hAnsiTheme="majorHAnsi"/>
      <w:color w:themeColor="accent1" w:themeShade="7f" w:val="1F4D78"/>
      <w:sz w:val="24"/>
      <w:szCs w:val="24"/>
    </w:rPr>
  </w:style>
  <w:style w:type="character" w:styleId="Nagwek4Znak" w:customStyle="1">
    <w:name w:val="Nagłówek 4 Znak"/>
    <w:basedOn w:val="DefaultParagraphFont"/>
    <w:uiPriority w:val="9"/>
    <w:semiHidden/>
    <w:qFormat/>
    <w:rsid w:val="00437395"/>
    <w:rPr>
      <w:rFonts w:ascii="Fira Sans Medium" w:hAnsi="Fira Sans Medium" w:eastAsia="" w:cs="" w:asciiTheme="majorHAnsi" w:cstheme="majorBidi" w:eastAsiaTheme="majorEastAsia" w:hAnsiTheme="majorHAnsi"/>
      <w:i/>
      <w:iCs/>
      <w:color w:themeColor="accent1" w:themeShade="bf" w:val="2E74B5"/>
    </w:rPr>
  </w:style>
  <w:style w:type="character" w:styleId="Nagwek5Znak" w:customStyle="1">
    <w:name w:val="Nagłówek 5 Znak"/>
    <w:basedOn w:val="DefaultParagraphFont"/>
    <w:qFormat/>
    <w:rsid w:val="007a2dc1"/>
    <w:rPr>
      <w:rFonts w:ascii="Fira Sans Medium" w:hAnsi="Fira Sans Medium" w:eastAsia="" w:cs="" w:asciiTheme="majorHAnsi" w:cstheme="majorBidi" w:eastAsiaTheme="majorEastAsia" w:hAnsiTheme="majorHAnsi"/>
      <w:color w:themeColor="accent1" w:themeShade="bf" w:val="2E74B5"/>
    </w:rPr>
  </w:style>
  <w:style w:type="character" w:styleId="Nagwek8Znak" w:customStyle="1">
    <w:name w:val="Nagłówek 8 Znak"/>
    <w:basedOn w:val="DefaultParagraphFont"/>
    <w:qFormat/>
    <w:rsid w:val="007a2dc1"/>
    <w:rPr>
      <w:rFonts w:ascii="Fira Sans Medium" w:hAnsi="Fira Sans Medium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Nagwek9Znak" w:customStyle="1">
    <w:name w:val="Nagłówek 9 Znak"/>
    <w:basedOn w:val="DefaultParagraphFont"/>
    <w:qFormat/>
    <w:rsid w:val="007a2dc1"/>
    <w:rPr>
      <w:rFonts w:ascii="Fira Sans Medium" w:hAnsi="Fira Sans Medium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LIDZnak" w:customStyle="1">
    <w:name w:val="LID Znak"/>
    <w:basedOn w:val="DefaultParagraphFont"/>
    <w:link w:val="LID"/>
    <w:qFormat/>
    <w:rsid w:val="00f049ab"/>
    <w:rPr>
      <w:rFonts w:ascii="Fira Sans" w:hAnsi="Fira Sans"/>
      <w:b/>
      <w:sz w:val="19"/>
      <w:szCs w:val="19"/>
      <w:lang w:eastAsia="pl-PL"/>
    </w:rPr>
  </w:style>
  <w:style w:type="character" w:styleId="Hyperlink">
    <w:name w:val="Hyperlink"/>
    <w:semiHidden/>
    <w:rsid w:val="008f3638"/>
    <w:rPr>
      <w:rFonts w:cs="Times New Roman"/>
      <w:color w:val="0000FF"/>
      <w:u w:val="single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7f324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203f1"/>
    <w:rPr>
      <w:b/>
      <w:bCs/>
    </w:rPr>
  </w:style>
  <w:style w:type="character" w:styleId="NagwekZnak" w:customStyle="1">
    <w:name w:val="Nagłówek Znak"/>
    <w:basedOn w:val="DefaultParagraphFont"/>
    <w:uiPriority w:val="99"/>
    <w:qFormat/>
    <w:rsid w:val="000662e2"/>
    <w:rPr/>
  </w:style>
  <w:style w:type="character" w:styleId="StopkaZnak" w:customStyle="1">
    <w:name w:val="Stopka Znak"/>
    <w:basedOn w:val="DefaultParagraphFont"/>
    <w:uiPriority w:val="99"/>
    <w:qFormat/>
    <w:rsid w:val="000662e2"/>
    <w:rPr/>
  </w:style>
  <w:style w:type="character" w:styleId="AkapitzlistZnak" w:customStyle="1">
    <w:name w:val="Akapit z listą Znak"/>
    <w:basedOn w:val="DefaultParagraphFont"/>
    <w:link w:val="ListParagraph"/>
    <w:uiPriority w:val="34"/>
    <w:qFormat/>
    <w:rsid w:val="00f049ab"/>
    <w:rPr>
      <w:rFonts w:ascii="Fira Sans" w:hAnsi="Fira Sans"/>
      <w:sz w:val="19"/>
    </w:rPr>
  </w:style>
  <w:style w:type="character" w:styleId="TekstprzypisudolnegoZnak" w:customStyle="1">
    <w:name w:val="Tekst przypisu dolnego Znak"/>
    <w:basedOn w:val="DefaultParagraphFont"/>
    <w:uiPriority w:val="99"/>
    <w:qFormat/>
    <w:rsid w:val="001448a7"/>
    <w:rPr>
      <w:sz w:val="20"/>
      <w:szCs w:val="20"/>
    </w:rPr>
  </w:style>
  <w:style w:type="character" w:styleId="Znakiprzypiswdolnych">
    <w:name w:val="Znaki przypisów dolnych"/>
    <w:basedOn w:val="DefaultParagraphFont"/>
    <w:uiPriority w:val="99"/>
    <w:semiHidden/>
    <w:unhideWhenUsed/>
    <w:qFormat/>
    <w:rsid w:val="001448a7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tytuinformacjiZnak" w:customStyle="1">
    <w:name w:val="tytuł informacji Znak"/>
    <w:basedOn w:val="DefaultParagraphFont"/>
    <w:link w:val="tytuinformacji"/>
    <w:qFormat/>
    <w:rsid w:val="007d605c"/>
    <w:rPr>
      <w:rFonts w:ascii="Fira Sans Extra Condensed SemiB" w:hAnsi="Fira Sans Extra Condensed SemiB"/>
      <w:color w:themeColor="text1" w:val="000000"/>
      <w:sz w:val="40"/>
      <w:szCs w:val="26"/>
    </w:rPr>
  </w:style>
  <w:style w:type="character" w:styleId="tekstnaniebieskimtleZnak" w:customStyle="1">
    <w:name w:val="tekst na niebieskim tle Znak"/>
    <w:basedOn w:val="DefaultParagraphFont"/>
    <w:link w:val="tekstnaniebieskimtle"/>
    <w:qFormat/>
    <w:rsid w:val="00f049ab"/>
    <w:rPr>
      <w:rFonts w:ascii="Fira Sans" w:hAnsi="Fira Sans"/>
      <w:sz w:val="20"/>
    </w:rPr>
  </w:style>
  <w:style w:type="character" w:styleId="TekstkomentarzaZnak" w:customStyle="1">
    <w:name w:val="Tekst komentarza Znak"/>
    <w:basedOn w:val="DefaultParagraphFont"/>
    <w:link w:val="CommentText"/>
    <w:uiPriority w:val="99"/>
    <w:semiHidden/>
    <w:qFormat/>
    <w:rsid w:val="00e95b8e"/>
    <w:rPr>
      <w:rFonts w:ascii="Fira Sans" w:hAnsi="Fira Sa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95b8e"/>
    <w:rPr>
      <w:sz w:val="16"/>
      <w:szCs w:val="16"/>
    </w:rPr>
  </w:style>
  <w:style w:type="character" w:styleId="TematkomentarzaZnak" w:customStyle="1">
    <w:name w:val="Temat komentarza Znak"/>
    <w:basedOn w:val="TekstkomentarzaZnak"/>
    <w:link w:val="annotationsubject"/>
    <w:uiPriority w:val="99"/>
    <w:semiHidden/>
    <w:qFormat/>
    <w:rsid w:val="00de2400"/>
    <w:rPr>
      <w:rFonts w:ascii="Fira Sans" w:hAnsi="Fira Sans"/>
      <w:b/>
      <w:bCs/>
      <w:sz w:val="20"/>
      <w:szCs w:val="20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f049ab"/>
    <w:rPr>
      <w:color w:val="605E5C"/>
      <w:shd w:fill="E1DFDD" w:val="clear"/>
    </w:rPr>
  </w:style>
  <w:style w:type="character" w:styleId="TytuinfomacjisygnalnejZnak" w:customStyle="1">
    <w:name w:val="Tytuł infomacji sygnalnej Znak"/>
    <w:basedOn w:val="tytuinformacjiZnak"/>
    <w:link w:val="Tytuinfomacjisygnalnej"/>
    <w:qFormat/>
    <w:rsid w:val="00f049ab"/>
    <w:rPr>
      <w:rFonts w:ascii="Fira Sans Extra Condensed SemiB" w:hAnsi="Fira Sans Extra Condensed SemiB"/>
      <w:color w:themeColor="text1" w:val="000000"/>
      <w:sz w:val="40"/>
      <w:szCs w:val="26"/>
    </w:rPr>
  </w:style>
  <w:style w:type="character" w:styleId="IkonawskanikaZnak" w:customStyle="1">
    <w:name w:val="Ikona wskaźnika Znak"/>
    <w:basedOn w:val="DefaultParagraphFont"/>
    <w:link w:val="Ikonawskanika"/>
    <w:qFormat/>
    <w:rsid w:val="00f049ab"/>
    <w:rPr>
      <w:rFonts w:ascii="Fira Sans SemiBold" w:hAnsi="Fira Sans SemiBold"/>
      <w:color w:val="66AFDE"/>
      <w:sz w:val="60"/>
      <w:szCs w:val="60"/>
    </w:rPr>
  </w:style>
  <w:style w:type="character" w:styleId="WartowskanikaZnak" w:customStyle="1">
    <w:name w:val="Wartość wskaźnika Znak"/>
    <w:basedOn w:val="DefaultParagraphFont"/>
    <w:link w:val="Wartowskanika"/>
    <w:qFormat/>
    <w:rsid w:val="00f049ab"/>
    <w:rPr>
      <w:rFonts w:ascii="Fira Sans SemiBold" w:hAnsi="Fira Sans SemiBold"/>
      <w:color w:themeColor="background1" w:val="FFFFFF"/>
      <w:sz w:val="40"/>
      <w:szCs w:val="56"/>
    </w:rPr>
  </w:style>
  <w:style w:type="character" w:styleId="OpiswskanikaZnak" w:customStyle="1">
    <w:name w:val="Opis wskaźnika Znak"/>
    <w:basedOn w:val="tekstnaniebieskimtleZnak"/>
    <w:link w:val="Opiswskanika"/>
    <w:qFormat/>
    <w:rsid w:val="00f049ab"/>
    <w:rPr>
      <w:rFonts w:ascii="Fira Sans" w:hAnsi="Fira Sans"/>
      <w:color w:themeColor="background1" w:val="FFFFFF"/>
      <w:sz w:val="20"/>
    </w:rPr>
  </w:style>
  <w:style w:type="character" w:styleId="LeadZnak" w:customStyle="1">
    <w:name w:val="Lead Znak"/>
    <w:basedOn w:val="LIDZnak"/>
    <w:link w:val="Lead"/>
    <w:qFormat/>
    <w:rsid w:val="00f049ab"/>
    <w:rPr>
      <w:rFonts w:ascii="Fira Sans" w:hAnsi="Fira Sans"/>
      <w:b/>
      <w:sz w:val="19"/>
      <w:szCs w:val="19"/>
      <w:lang w:eastAsia="pl-PL"/>
    </w:rPr>
  </w:style>
  <w:style w:type="character" w:styleId="DatainformacjisygnalnejZnak" w:customStyle="1">
    <w:name w:val="Data informacji sygnalnej Znak"/>
    <w:basedOn w:val="DefaultParagraphFont"/>
    <w:link w:val="Datainformacjisygnalnej"/>
    <w:qFormat/>
    <w:rsid w:val="00f049ab"/>
    <w:rPr>
      <w:rFonts w:ascii="Fira Sans SemiBold" w:hAnsi="Fira Sans SemiBold"/>
      <w:color w:val="001D77"/>
      <w:sz w:val="20"/>
      <w:szCs w:val="20"/>
    </w:rPr>
  </w:style>
  <w:style w:type="character" w:styleId="TytutablicyZnak" w:customStyle="1">
    <w:name w:val="Tytuł tablicy Znak"/>
    <w:basedOn w:val="Nagwek1Znak"/>
    <w:link w:val="Tytutablicy"/>
    <w:qFormat/>
    <w:rsid w:val="00cd1ebb"/>
    <w:rPr>
      <w:rFonts w:ascii="Fira Sans" w:hAnsi="Fira Sans" w:eastAsia="Times New Roman" w:cs="Times New Roman"/>
      <w:b/>
      <w:bCs/>
      <w:color w:themeColor="text1" w:val="000000"/>
      <w:sz w:val="19"/>
      <w:szCs w:val="19"/>
      <w:lang w:eastAsia="pl-PL"/>
    </w:rPr>
  </w:style>
  <w:style w:type="character" w:styleId="TablicagwkaZnak" w:customStyle="1">
    <w:name w:val="Tablica główka Znak"/>
    <w:basedOn w:val="AkapitzlistZnak"/>
    <w:link w:val="Tablicagwka"/>
    <w:qFormat/>
    <w:rsid w:val="00f049ab"/>
    <w:rPr>
      <w:rFonts w:ascii="Fira Sans" w:hAnsi="Fira Sans" w:eastAsia="Times New Roman" w:cs="Calibri"/>
      <w:sz w:val="19"/>
      <w:szCs w:val="19"/>
      <w:lang w:eastAsia="pl-PL"/>
    </w:rPr>
  </w:style>
  <w:style w:type="character" w:styleId="TablicagwkarodekZnak" w:customStyle="1">
    <w:name w:val="Tablica główka środek Znak"/>
    <w:basedOn w:val="DefaultParagraphFont"/>
    <w:link w:val="Tablicagwkarodek"/>
    <w:qFormat/>
    <w:rsid w:val="00f049ab"/>
    <w:rPr>
      <w:rFonts w:ascii="Fira Sans" w:hAnsi="Fira Sans" w:eastAsia="Times New Roman" w:cs="Calibri"/>
      <w:sz w:val="19"/>
      <w:szCs w:val="19"/>
      <w:lang w:eastAsia="pl-PL"/>
    </w:rPr>
  </w:style>
  <w:style w:type="character" w:styleId="TablicadanerodekZnak" w:customStyle="1">
    <w:name w:val="Tablica dane środek Znak"/>
    <w:basedOn w:val="DefaultParagraphFont"/>
    <w:link w:val="Tablicadanerodek"/>
    <w:qFormat/>
    <w:rsid w:val="00966c9a"/>
    <w:rPr>
      <w:rFonts w:ascii="Fira Sans" w:hAnsi="Fira Sans" w:eastAsia="Times New Roman" w:cs="Calibri"/>
      <w:sz w:val="19"/>
      <w:szCs w:val="19"/>
      <w:lang w:eastAsia="pl-PL"/>
    </w:rPr>
  </w:style>
  <w:style w:type="character" w:styleId="TablicaboczekZnak" w:customStyle="1">
    <w:name w:val="Tablica boczek Znak"/>
    <w:basedOn w:val="DefaultParagraphFont"/>
    <w:link w:val="Tablicaboczek"/>
    <w:qFormat/>
    <w:rsid w:val="00966c9a"/>
    <w:rPr>
      <w:rFonts w:ascii="Fira Sans" w:hAnsi="Fira Sans" w:eastAsia="Times New Roman" w:cs="Calibri"/>
      <w:sz w:val="19"/>
      <w:szCs w:val="19"/>
      <w:lang w:eastAsia="pl-PL"/>
    </w:rPr>
  </w:style>
  <w:style w:type="character" w:styleId="Tablicaboczekwcicie1Znak" w:customStyle="1">
    <w:name w:val="Tablica boczek wcięcie 1 Znak"/>
    <w:basedOn w:val="DefaultParagraphFont"/>
    <w:link w:val="Tablicaboczekwcicie1"/>
    <w:qFormat/>
    <w:rsid w:val="00966c9a"/>
    <w:rPr>
      <w:rFonts w:ascii="Fira Sans" w:hAnsi="Fira Sans"/>
      <w:sz w:val="19"/>
      <w:szCs w:val="19"/>
    </w:rPr>
  </w:style>
  <w:style w:type="character" w:styleId="Tablicaboczekwcicie2Znak" w:customStyle="1">
    <w:name w:val="Tablica boczek wcięcie 2 Znak"/>
    <w:basedOn w:val="DefaultParagraphFont"/>
    <w:link w:val="Tablicaboczekwcicie2"/>
    <w:qFormat/>
    <w:rsid w:val="00966c9a"/>
    <w:rPr>
      <w:rFonts w:ascii="Fira Sans" w:hAnsi="Fira Sans"/>
      <w:sz w:val="19"/>
      <w:szCs w:val="19"/>
    </w:rPr>
  </w:style>
  <w:style w:type="character" w:styleId="TablicanotkaZnak" w:customStyle="1">
    <w:name w:val="Tablica notka Znak"/>
    <w:basedOn w:val="DefaultParagraphFont"/>
    <w:link w:val="Tablicanotka"/>
    <w:qFormat/>
    <w:rsid w:val="00966c9a"/>
    <w:rPr>
      <w:rFonts w:ascii="Fira Sans" w:hAnsi="Fira Sans"/>
      <w:spacing w:val="-2"/>
      <w:sz w:val="16"/>
      <w:szCs w:val="16"/>
    </w:rPr>
  </w:style>
  <w:style w:type="character" w:styleId="PrzypisZnak" w:customStyle="1">
    <w:name w:val="Przypis Znak"/>
    <w:basedOn w:val="TekstprzypisudolnegoZnak"/>
    <w:link w:val="Przypis"/>
    <w:qFormat/>
    <w:rsid w:val="00966c9a"/>
    <w:rPr>
      <w:rFonts w:ascii="Fira Sans" w:hAnsi="Fira Sans"/>
      <w:sz w:val="19"/>
      <w:szCs w:val="19"/>
      <w:lang w:val="en-GB"/>
    </w:rPr>
  </w:style>
  <w:style w:type="character" w:styleId="TekstwypunktowaniaZnak" w:customStyle="1">
    <w:name w:val="Tekst wypunktowania Znak"/>
    <w:basedOn w:val="DefaultParagraphFont"/>
    <w:link w:val="Tekstwypunktowania"/>
    <w:qFormat/>
    <w:rsid w:val="00966c9a"/>
    <w:rPr>
      <w:rFonts w:ascii="Fira Sans" w:hAnsi="Fira Sans"/>
      <w:sz w:val="19"/>
      <w:lang w:val="en-GB"/>
    </w:rPr>
  </w:style>
  <w:style w:type="character" w:styleId="TytuwykresuZnak" w:customStyle="1">
    <w:name w:val="Tytuł wykresu Znak"/>
    <w:basedOn w:val="Nagwek1Znak"/>
    <w:link w:val="Tytuwykresu1"/>
    <w:qFormat/>
    <w:rsid w:val="00966c9a"/>
    <w:rPr>
      <w:rFonts w:ascii="Fira Sans SemiBold" w:hAnsi="Fira Sans SemiBold" w:eastAsia="Times New Roman" w:cs="Times New Roman"/>
      <w:b/>
      <w:bCs/>
      <w:color w:val="001D77"/>
      <w:sz w:val="19"/>
      <w:szCs w:val="24"/>
      <w:lang w:eastAsia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bf7f08"/>
    <w:rPr>
      <w:color w:themeColor="followedHyperlink" w:val="954F72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D" w:customStyle="1">
    <w:name w:val="LID"/>
    <w:basedOn w:val="Normal"/>
    <w:link w:val="LIDZnak"/>
    <w:qFormat/>
    <w:rsid w:val="00633014"/>
    <w:pPr/>
    <w:rPr>
      <w:b/>
      <w:szCs w:val="19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f324b"/>
    <w:pPr>
      <w:spacing w:lineRule="auto" w:line="240" w:before="120" w:after="0"/>
    </w:pPr>
    <w:rPr>
      <w:rFonts w:ascii="Segoe UI" w:hAnsi="Segoe UI" w:cs="Segoe UI"/>
      <w:sz w:val="18"/>
      <w:szCs w:val="18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0662e2"/>
    <w:pPr>
      <w:tabs>
        <w:tab w:val="clear" w:pos="708"/>
        <w:tab w:val="center" w:pos="4536" w:leader="none"/>
        <w:tab w:val="right" w:pos="9072" w:leader="none"/>
      </w:tabs>
      <w:spacing w:lineRule="auto" w:line="240" w:before="120" w:after="0"/>
    </w:pPr>
    <w:rPr/>
  </w:style>
  <w:style w:type="paragraph" w:styleId="Footer">
    <w:name w:val="footer"/>
    <w:basedOn w:val="Normal"/>
    <w:link w:val="StopkaZnak"/>
    <w:uiPriority w:val="99"/>
    <w:unhideWhenUsed/>
    <w:rsid w:val="000662e2"/>
    <w:pPr>
      <w:tabs>
        <w:tab w:val="clear" w:pos="708"/>
        <w:tab w:val="center" w:pos="4536" w:leader="none"/>
        <w:tab w:val="right" w:pos="9072" w:leader="none"/>
      </w:tabs>
      <w:spacing w:lineRule="auto" w:line="240" w:before="120" w:after="0"/>
    </w:pPr>
    <w:rPr/>
  </w:style>
  <w:style w:type="paragraph" w:styleId="ListParagraph">
    <w:name w:val="List Paragraph"/>
    <w:basedOn w:val="Normal"/>
    <w:link w:val="AkapitzlistZnak"/>
    <w:uiPriority w:val="34"/>
    <w:qFormat/>
    <w:rsid w:val="00933ec1"/>
    <w:pPr>
      <w:spacing w:before="120" w:after="120"/>
      <w:ind w:left="720"/>
      <w:contextualSpacing/>
    </w:pPr>
    <w:rPr/>
  </w:style>
  <w:style w:type="paragraph" w:styleId="FootnoteText">
    <w:name w:val="footnote text"/>
    <w:basedOn w:val="Normal"/>
    <w:link w:val="TekstprzypisudolnegoZnak"/>
    <w:uiPriority w:val="99"/>
    <w:unhideWhenUsed/>
    <w:rsid w:val="001448a7"/>
    <w:pPr>
      <w:spacing w:lineRule="auto" w:line="240" w:before="120" w:after="0"/>
    </w:pPr>
    <w:rPr>
      <w:sz w:val="20"/>
      <w:szCs w:val="20"/>
    </w:rPr>
  </w:style>
  <w:style w:type="paragraph" w:styleId="tytuinformacji" w:customStyle="1">
    <w:name w:val="tytuł informacji"/>
    <w:basedOn w:val="Normal"/>
    <w:link w:val="tytuinformacjiZnak"/>
    <w:qFormat/>
    <w:rsid w:val="00633014"/>
    <w:pPr>
      <w:spacing w:lineRule="auto" w:line="240" w:before="120" w:after="0"/>
    </w:pPr>
    <w:rPr>
      <w:rFonts w:ascii="Fira Sans Extra Condensed SemiB" w:hAnsi="Fira Sans Extra Condensed SemiB"/>
      <w:color w:themeColor="text1" w:val="000000"/>
      <w:sz w:val="40"/>
      <w:szCs w:val="26"/>
    </w:rPr>
  </w:style>
  <w:style w:type="paragraph" w:styleId="tekstzboku" w:customStyle="1">
    <w:name w:val="tekst z boku"/>
    <w:basedOn w:val="Normal"/>
    <w:qFormat/>
    <w:rsid w:val="008f74df"/>
    <w:pPr>
      <w:spacing w:before="12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tytuwykresu" w:customStyle="1">
    <w:name w:val="tytuł wykresu"/>
    <w:basedOn w:val="Normal"/>
    <w:qFormat/>
    <w:rsid w:val="00e664c5"/>
    <w:pPr/>
    <w:rPr>
      <w:b/>
      <w:spacing w:val="-2"/>
      <w:sz w:val="18"/>
    </w:rPr>
  </w:style>
  <w:style w:type="paragraph" w:styleId="tekstnaniebieskimtle" w:customStyle="1">
    <w:name w:val="tekst na niebieskim tle"/>
    <w:basedOn w:val="Normal"/>
    <w:link w:val="tekstnaniebieskimtleZnak"/>
    <w:qFormat/>
    <w:rsid w:val="00074dd8"/>
    <w:pPr>
      <w:spacing w:lineRule="auto" w:line="240" w:before="0" w:after="0"/>
    </w:pPr>
    <w:rPr>
      <w:sz w:val="20"/>
    </w:rPr>
  </w:style>
  <w:style w:type="paragraph" w:styleId="CommentText">
    <w:name w:val="annotation text"/>
    <w:basedOn w:val="Normal"/>
    <w:link w:val="TekstkomentarzaZnak"/>
    <w:uiPriority w:val="99"/>
    <w:semiHidden/>
    <w:unhideWhenUsed/>
    <w:rsid w:val="00e95b8e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TematkomentarzaZnak"/>
    <w:uiPriority w:val="99"/>
    <w:semiHidden/>
    <w:unhideWhenUsed/>
    <w:qFormat/>
    <w:rsid w:val="00de2400"/>
    <w:pPr/>
    <w:rPr>
      <w:b/>
      <w:bCs/>
    </w:rPr>
  </w:style>
  <w:style w:type="paragraph" w:styleId="Tytuinfomacjisygnalnej" w:customStyle="1">
    <w:name w:val="Tytuł infomacji sygnalnej"/>
    <w:basedOn w:val="tytuinformacji"/>
    <w:link w:val="TytuinfomacjisygnalnejZnak"/>
    <w:qFormat/>
    <w:rsid w:val="00f049ab"/>
    <w:pPr>
      <w:suppressAutoHyphens w:val="true"/>
      <w:spacing w:before="120" w:after="600"/>
    </w:pPr>
    <w:rPr>
      <w:shd w:fill="FFFFFF" w:val="clear"/>
    </w:rPr>
  </w:style>
  <w:style w:type="paragraph" w:styleId="Ikonawskanika" w:customStyle="1">
    <w:name w:val="Ikona wskaźnika"/>
    <w:basedOn w:val="Normal"/>
    <w:link w:val="IkonawskanikaZnak"/>
    <w:qFormat/>
    <w:rsid w:val="00f049ab"/>
    <w:pPr>
      <w:spacing w:lineRule="auto" w:line="240" w:before="0" w:after="0"/>
    </w:pPr>
    <w:rPr>
      <w:rFonts w:ascii="Fira Sans SemiBold" w:hAnsi="Fira Sans SemiBold"/>
      <w:color w:val="66AFDE"/>
      <w:sz w:val="60"/>
      <w:szCs w:val="60"/>
    </w:rPr>
  </w:style>
  <w:style w:type="paragraph" w:styleId="Wartowskanika" w:customStyle="1">
    <w:name w:val="Wartość wskaźnika"/>
    <w:basedOn w:val="Normal"/>
    <w:link w:val="WartowskanikaZnak"/>
    <w:qFormat/>
    <w:rsid w:val="00f049ab"/>
    <w:pPr>
      <w:spacing w:lineRule="auto" w:line="240" w:before="0" w:after="0"/>
    </w:pPr>
    <w:rPr>
      <w:rFonts w:ascii="Fira Sans SemiBold" w:hAnsi="Fira Sans SemiBold"/>
      <w:color w:themeColor="background1" w:val="FFFFFF"/>
      <w:sz w:val="40"/>
      <w:szCs w:val="56"/>
    </w:rPr>
  </w:style>
  <w:style w:type="paragraph" w:styleId="Opiswskanika" w:customStyle="1">
    <w:name w:val="Opis wskaźnika"/>
    <w:basedOn w:val="tekstnaniebieskimtle"/>
    <w:link w:val="OpiswskanikaZnak"/>
    <w:qFormat/>
    <w:rsid w:val="00f049ab"/>
    <w:pPr/>
    <w:rPr>
      <w:color w:themeColor="background1" w:val="FFFFFF"/>
    </w:rPr>
  </w:style>
  <w:style w:type="paragraph" w:styleId="Lead" w:customStyle="1">
    <w:name w:val="Lead"/>
    <w:basedOn w:val="LID"/>
    <w:link w:val="LeadZnak"/>
    <w:qFormat/>
    <w:rsid w:val="00f049ab"/>
    <w:pPr>
      <w:spacing w:before="360" w:after="120"/>
    </w:pPr>
    <w:rPr/>
  </w:style>
  <w:style w:type="paragraph" w:styleId="Datainformacjisygnalnej" w:customStyle="1">
    <w:name w:val="Data informacji sygnalnej"/>
    <w:basedOn w:val="Normal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paragraph" w:styleId="Tytutablicy" w:customStyle="1">
    <w:name w:val="Tytuł tablicy"/>
    <w:basedOn w:val="Heading1"/>
    <w:link w:val="TytutablicyZnak"/>
    <w:qFormat/>
    <w:rsid w:val="00cd1ebb"/>
    <w:pPr/>
    <w:rPr>
      <w:rFonts w:ascii="Fira Sans" w:hAnsi="Fira Sans"/>
      <w:b/>
      <w:color w:themeColor="text1" w:val="000000"/>
      <w:szCs w:val="19"/>
    </w:rPr>
  </w:style>
  <w:style w:type="paragraph" w:styleId="Tablicagwka" w:customStyle="1">
    <w:name w:val="Tablica główka"/>
    <w:basedOn w:val="ListParagraph"/>
    <w:link w:val="TablicagwkaZnak"/>
    <w:qFormat/>
    <w:rsid w:val="00f049ab"/>
    <w:pPr/>
    <w:rPr>
      <w:rFonts w:eastAsia="Times New Roman" w:cs="Calibri"/>
      <w:szCs w:val="19"/>
      <w:lang w:eastAsia="pl-PL"/>
    </w:rPr>
  </w:style>
  <w:style w:type="paragraph" w:styleId="Tablicagwkarodek" w:customStyle="1">
    <w:name w:val="Tablica główka środek"/>
    <w:basedOn w:val="Normal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paragraph" w:styleId="Tablicadanerodek" w:customStyle="1">
    <w:name w:val="Tablica dane środek"/>
    <w:basedOn w:val="Normal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paragraph" w:styleId="Tablicaboczek" w:customStyle="1">
    <w:name w:val="Tablica boczek"/>
    <w:basedOn w:val="Normal"/>
    <w:link w:val="TablicaboczekZnak"/>
    <w:qFormat/>
    <w:rsid w:val="00966c9a"/>
    <w:pPr/>
    <w:rPr>
      <w:rFonts w:eastAsia="Times New Roman" w:cs="Calibri"/>
      <w:szCs w:val="19"/>
      <w:lang w:eastAsia="pl-PL"/>
    </w:rPr>
  </w:style>
  <w:style w:type="paragraph" w:styleId="Tablicaboczekwcicie1" w:customStyle="1">
    <w:name w:val="Tablica boczek wcięcie 1"/>
    <w:basedOn w:val="Normal"/>
    <w:link w:val="Tablicaboczekwcicie1Znak"/>
    <w:qFormat/>
    <w:rsid w:val="00966c9a"/>
    <w:pPr>
      <w:ind w:firstLine="176"/>
    </w:pPr>
    <w:rPr>
      <w:szCs w:val="19"/>
    </w:rPr>
  </w:style>
  <w:style w:type="paragraph" w:styleId="Tablicaboczekwcicie2" w:customStyle="1">
    <w:name w:val="Tablica boczek wcięcie 2"/>
    <w:basedOn w:val="Normal"/>
    <w:link w:val="Tablicaboczekwcicie2Znak"/>
    <w:qFormat/>
    <w:rsid w:val="00966c9a"/>
    <w:pPr>
      <w:ind w:left="318"/>
    </w:pPr>
    <w:rPr>
      <w:szCs w:val="19"/>
    </w:rPr>
  </w:style>
  <w:style w:type="paragraph" w:styleId="Tablicanotka" w:customStyle="1">
    <w:name w:val="Tablica notka"/>
    <w:basedOn w:val="Normal"/>
    <w:link w:val="TablicanotkaZnak"/>
    <w:qFormat/>
    <w:rsid w:val="00966c9a"/>
    <w:pPr/>
    <w:rPr>
      <w:spacing w:val="-2"/>
      <w:sz w:val="16"/>
      <w:szCs w:val="16"/>
    </w:rPr>
  </w:style>
  <w:style w:type="paragraph" w:styleId="Przypis" w:customStyle="1">
    <w:name w:val="Przypis"/>
    <w:basedOn w:val="FootnoteText"/>
    <w:link w:val="PrzypisZnak"/>
    <w:qFormat/>
    <w:rsid w:val="00966c9a"/>
    <w:pPr/>
    <w:rPr>
      <w:sz w:val="19"/>
      <w:szCs w:val="19"/>
      <w:shd w:fill="FFFFFF" w:val="clear"/>
      <w:lang w:val="en-GB"/>
    </w:rPr>
  </w:style>
  <w:style w:type="paragraph" w:styleId="Tekstwypunktowania" w:customStyle="1">
    <w:name w:val="Tekst wypunktowania"/>
    <w:basedOn w:val="Normal"/>
    <w:link w:val="TekstwypunktowaniaZnak"/>
    <w:qFormat/>
    <w:rsid w:val="00966c9a"/>
    <w:pPr>
      <w:numPr>
        <w:ilvl w:val="1"/>
        <w:numId w:val="1"/>
      </w:numPr>
      <w:spacing w:lineRule="auto" w:line="276" w:before="120" w:after="0"/>
      <w:ind w:hanging="425" w:left="425"/>
    </w:pPr>
    <w:rPr>
      <w:shd w:fill="FFFFFF" w:val="clear"/>
      <w:lang w:val="en-GB"/>
    </w:rPr>
  </w:style>
  <w:style w:type="paragraph" w:styleId="Tytuwykresu1" w:customStyle="1">
    <w:name w:val="Tytuł wykresu1"/>
    <w:basedOn w:val="Heading1"/>
    <w:link w:val="TytuwykresuZnak"/>
    <w:qFormat/>
    <w:rsid w:val="00966c9a"/>
    <w:pPr/>
    <w:rPr>
      <w:b/>
      <w:color w:val="auto"/>
    </w:rPr>
  </w:style>
  <w:style w:type="paragraph" w:styleId="NormalWeb">
    <w:name w:val="Normal (Web)"/>
    <w:basedOn w:val="Normal"/>
    <w:uiPriority w:val="99"/>
    <w:unhideWhenUsed/>
    <w:qFormat/>
    <w:rsid w:val="005829a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val="en-GB" w:eastAsia="en-GB"/>
    </w:rPr>
  </w:style>
  <w:style w:type="paragraph" w:styleId="Zawartoramki">
    <w:name w:val="Zawartość ramki"/>
    <w:basedOn w:val="Normal"/>
    <w:qFormat/>
    <w:pPr/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hyperlink" Target="mailto:obslugaprasowa@stat.gov.pl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hyperlink" Target="https://stat.gov.pl/" TargetMode="External"/><Relationship Id="rId21" Type="http://schemas.openxmlformats.org/officeDocument/2006/relationships/hyperlink" Target="https://stat.gov.pl/" TargetMode="External"/><Relationship Id="rId22" Type="http://schemas.openxmlformats.org/officeDocument/2006/relationships/hyperlink" Target="https://stat.gov.pl/" TargetMode="External"/><Relationship Id="rId23" Type="http://schemas.openxmlformats.org/officeDocument/2006/relationships/hyperlink" Target="http://swaid.stat.gov.pl/SitePagesDBW/Ceny.aspx" TargetMode="External"/><Relationship Id="rId24" Type="http://schemas.openxmlformats.org/officeDocument/2006/relationships/hyperlink" Target="http://bdm.stat.gov.pl/" TargetMode="External"/><Relationship Id="rId25" Type="http://schemas.openxmlformats.org/officeDocument/2006/relationships/hyperlink" Target="https://bdl.stat.gov.pl/BDL/start" TargetMode="External"/><Relationship Id="rId26" Type="http://schemas.openxmlformats.org/officeDocument/2006/relationships/hyperlink" Target="http://stat.gov.pl/obszary-tematyczne/ceny-handel/wskazniki-cen/" TargetMode="External"/><Relationship Id="rId27" Type="http://schemas.openxmlformats.org/officeDocument/2006/relationships/hyperlink" Target="http://stat.gov.pl/obszary-tematyczne/ceny-handel/ceny/" TargetMode="External"/><Relationship Id="rId28" Type="http://schemas.openxmlformats.org/officeDocument/2006/relationships/hyperlink" Target="https://stat.gov.pl/metainformacje/slownik-pojec/pojecia-stosowane-w-statystyce-publicznej/4598,pojecie.html" TargetMode="External"/><Relationship Id="rId29" Type="http://schemas.openxmlformats.org/officeDocument/2006/relationships/hyperlink" Target="http://stat.gov.pl/metainformacje/slownik-pojec/pojecia-stosowane-w-statystyce-publicznej/32,pojecie.html" TargetMode="External"/><Relationship Id="rId30" Type="http://schemas.openxmlformats.org/officeDocument/2006/relationships/header" Target="header4.xml"/><Relationship Id="rId31" Type="http://schemas.openxmlformats.org/officeDocument/2006/relationships/header" Target="header5.xml"/><Relationship Id="rId32" Type="http://schemas.openxmlformats.org/officeDocument/2006/relationships/footer" Target="footer4.xml"/><Relationship Id="rId33" Type="http://schemas.openxmlformats.org/officeDocument/2006/relationships/footer" Target="footer5.xml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<Relationship Id="rId38" Type="http://schemas.openxmlformats.org/officeDocument/2006/relationships/customXml" Target="../customXml/item1.xml"/><Relationship Id="rId39" Type="http://schemas.openxmlformats.org/officeDocument/2006/relationships/customXml" Target="../customXml/item2.xml"/><Relationship Id="rId40" Type="http://schemas.openxmlformats.org/officeDocument/2006/relationships/customXml" Target="../customXml/item3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3.wmf"/><Relationship Id="rId2" Type="http://schemas.openxmlformats.org/officeDocument/2006/relationships/image" Target="media/image14.wmf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 pitchFamily="0" charset="1"/>
        <a:ea typeface=""/>
        <a:cs typeface=""/>
      </a:majorFont>
      <a:minorFont>
        <a:latin typeface="Fira Sans Light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8C029B3F-2CC4-4A59-AF0D-A90575FA3373"/>
    <ds:schemaRef ds:uri="http://purl.org/dc/elements/1.1/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37D301-608D-40A6-80DD-B6EBEDDA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2782</TotalTime>
  <Application>LibreOffice/24.8.4.2$Windows_X86_64 LibreOffice_project/bb3cfa12c7b1bf994ecc5649a80400d06cd71002</Application>
  <AppVersion>15.0000</AppVersion>
  <Pages>10</Pages>
  <Words>838</Words>
  <Characters>4712</Characters>
  <CharactersWithSpaces>5000</CharactersWithSpaces>
  <Paragraphs>557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2022-07-13T21:33:00Z</dcterms:created>
  <dc:creator>GUS</dc:creator>
  <dc:description/>
  <dc:language>pl-PL</dc:language>
  <cp:lastModifiedBy/>
  <cp:lastPrinted>2024-01-12T10:48:00Z</cp:lastPrinted>
  <dcterms:modified xsi:type="dcterms:W3CDTF">2025-01-13T19:55:00Z</dcterms:modified>
  <cp:revision>0</cp:revision>
  <dc:subject/>
  <dc:title>CPI_12_2024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ktualnaData">
    <vt:lpwstr>2022-02-04</vt:lpwstr>
  </property>
  <property fmtid="{D5CDD505-2E9C-101B-9397-08002B2CF9AE}" pid="3" name="Autor">
    <vt:lpwstr>Morawska Beata</vt:lpwstr>
  </property>
  <property fmtid="{D5CDD505-2E9C-101B-9397-08002B2CF9AE}" pid="4" name="AutorInicjaly">
    <vt:lpwstr>BM</vt:lpwstr>
  </property>
  <property fmtid="{D5CDD505-2E9C-101B-9397-08002B2CF9AE}" pid="5" name="AutorNrTelefonu">
    <vt:lpwstr>37-15</vt:lpwstr>
  </property>
  <property fmtid="{D5CDD505-2E9C-101B-9397-08002B2CF9AE}" pid="6" name="ContentTypeId">
    <vt:lpwstr>0x01010044DF1BA9951007438FCA488A6A01397F</vt:lpwstr>
  </property>
  <property fmtid="{D5CDD505-2E9C-101B-9397-08002B2CF9AE}" pid="7" name="DataNaPismie">
    <vt:lpwstr/>
  </property>
  <property fmtid="{D5CDD505-2E9C-101B-9397-08002B2CF9AE}" pid="8" name="KodKomorki">
    <vt:lpwstr>Prezes GUS</vt:lpwstr>
  </property>
  <property fmtid="{D5CDD505-2E9C-101B-9397-08002B2CF9AE}" pid="9" name="KodKreskowy">
    <vt:lpwstr/>
  </property>
  <property fmtid="{D5CDD505-2E9C-101B-9397-08002B2CF9AE}" pid="10" name="KodWydzialu">
    <vt:lpwstr>OS-03</vt:lpwstr>
  </property>
  <property fmtid="{D5CDD505-2E9C-101B-9397-08002B2CF9AE}" pid="11" name="Komorka">
    <vt:lpwstr>Prezes GUS</vt:lpwstr>
  </property>
  <property fmtid="{D5CDD505-2E9C-101B-9397-08002B2CF9AE}" pid="12" name="OpisPisma">
    <vt:lpwstr>Wzory informacji sygnalnych</vt:lpwstr>
  </property>
  <property fmtid="{D5CDD505-2E9C-101B-9397-08002B2CF9AE}" pid="13" name="PrzekazanieDo">
    <vt:lpwstr>Karolina Banaszek</vt:lpwstr>
  </property>
  <property fmtid="{D5CDD505-2E9C-101B-9397-08002B2CF9AE}" pid="14" name="PrzekazanieDoKomorkaPracownika">
    <vt:lpwstr>Z-ca Dyrektora DK(DK-II) </vt:lpwstr>
  </property>
  <property fmtid="{D5CDD505-2E9C-101B-9397-08002B2CF9AE}" pid="15" name="PrzekazanieDoStanowisko">
    <vt:lpwstr>zastępca dyrektora departamentu</vt:lpwstr>
  </property>
  <property fmtid="{D5CDD505-2E9C-101B-9397-08002B2CF9AE}" pid="16" name="PrzekazanieWgRozdzielnika">
    <vt:lpwstr/>
  </property>
  <property fmtid="{D5CDD505-2E9C-101B-9397-08002B2CF9AE}" pid="17" name="Stanowisko">
    <vt:lpwstr>główny specjalista</vt:lpwstr>
  </property>
  <property fmtid="{D5CDD505-2E9C-101B-9397-08002B2CF9AE}" pid="18" name="TrescPisma">
    <vt:lpwstr/>
  </property>
  <property fmtid="{D5CDD505-2E9C-101B-9397-08002B2CF9AE}" pid="19" name="UNPPisma">
    <vt:lpwstr>2022-28926</vt:lpwstr>
  </property>
  <property fmtid="{D5CDD505-2E9C-101B-9397-08002B2CF9AE}" pid="20" name="Wydzial">
    <vt:lpwstr>Wydział Opracowań Graficznych</vt:lpwstr>
  </property>
  <property fmtid="{D5CDD505-2E9C-101B-9397-08002B2CF9AE}" pid="21" name="ZaakceptowanePrzez">
    <vt:lpwstr>n/d</vt:lpwstr>
  </property>
  <property fmtid="{D5CDD505-2E9C-101B-9397-08002B2CF9AE}" pid="22" name="ZnakPisma">
    <vt:lpwstr/>
  </property>
  <property fmtid="{D5CDD505-2E9C-101B-9397-08002B2CF9AE}" pid="23" name="ZnakSprawy">
    <vt:lpwstr/>
  </property>
  <property fmtid="{D5CDD505-2E9C-101B-9397-08002B2CF9AE}" pid="24" name="ZnakSprawyPrzedPrzeniesieniem">
    <vt:lpwstr/>
  </property>
  <property fmtid="{D5CDD505-2E9C-101B-9397-08002B2CF9AE}" pid="25" name="adresEMail">
    <vt:lpwstr/>
  </property>
  <property fmtid="{D5CDD505-2E9C-101B-9397-08002B2CF9AE}" pid="26" name="adresImie">
    <vt:lpwstr/>
  </property>
  <property fmtid="{D5CDD505-2E9C-101B-9397-08002B2CF9AE}" pid="27" name="adresKodPocztowy">
    <vt:lpwstr/>
  </property>
  <property fmtid="{D5CDD505-2E9C-101B-9397-08002B2CF9AE}" pid="28" name="adresMiejscowosc">
    <vt:lpwstr/>
  </property>
  <property fmtid="{D5CDD505-2E9C-101B-9397-08002B2CF9AE}" pid="29" name="adresNazwa">
    <vt:lpwstr/>
  </property>
  <property fmtid="{D5CDD505-2E9C-101B-9397-08002B2CF9AE}" pid="30" name="adresNazwisko">
    <vt:lpwstr/>
  </property>
  <property fmtid="{D5CDD505-2E9C-101B-9397-08002B2CF9AE}" pid="31" name="adresNrDomu">
    <vt:lpwstr/>
  </property>
  <property fmtid="{D5CDD505-2E9C-101B-9397-08002B2CF9AE}" pid="32" name="adresNrLokalu">
    <vt:lpwstr/>
  </property>
  <property fmtid="{D5CDD505-2E9C-101B-9397-08002B2CF9AE}" pid="33" name="adresOddzial">
    <vt:lpwstr/>
  </property>
  <property fmtid="{D5CDD505-2E9C-101B-9397-08002B2CF9AE}" pid="34" name="adresPoczta">
    <vt:lpwstr/>
  </property>
  <property fmtid="{D5CDD505-2E9C-101B-9397-08002B2CF9AE}" pid="35" name="adresTypUlicy">
    <vt:lpwstr/>
  </property>
  <property fmtid="{D5CDD505-2E9C-101B-9397-08002B2CF9AE}" pid="36" name="adresUlica">
    <vt:lpwstr/>
  </property>
</Properties>
</file>